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BE" w:rsidRPr="00077EA8" w:rsidRDefault="00FD7DBE" w:rsidP="00077EA8">
      <w:pPr>
        <w:ind w:left="720" w:hanging="720"/>
        <w:jc w:val="center"/>
        <w:rPr>
          <w:rFonts w:cs="B Titr"/>
          <w:color w:val="C00000"/>
          <w:sz w:val="30"/>
          <w:szCs w:val="30"/>
          <w:rtl/>
        </w:rPr>
      </w:pPr>
      <w:bookmarkStart w:id="0" w:name="_GoBack"/>
      <w:bookmarkEnd w:id="0"/>
      <w:r w:rsidRPr="00077EA8">
        <w:rPr>
          <w:rFonts w:cs="B Titr" w:hint="cs"/>
          <w:color w:val="C00000"/>
          <w:sz w:val="30"/>
          <w:szCs w:val="30"/>
          <w:rtl/>
        </w:rPr>
        <w:t>آئین نامه</w:t>
      </w:r>
      <w:r w:rsidR="008F530E">
        <w:rPr>
          <w:rFonts w:cs="B Titr" w:hint="cs"/>
          <w:color w:val="C00000"/>
          <w:sz w:val="30"/>
          <w:szCs w:val="30"/>
          <w:rtl/>
        </w:rPr>
        <w:t xml:space="preserve"> شرکت در همایش های داخلی و پرداخت هزینه ها</w:t>
      </w:r>
    </w:p>
    <w:p w:rsidR="006533DA" w:rsidRPr="0080322D" w:rsidRDefault="00FD7DBE" w:rsidP="00D06CB4">
      <w:pPr>
        <w:pStyle w:val="NormalWeb"/>
        <w:bidi/>
        <w:rPr>
          <w:rFonts w:cs="B Mitra"/>
          <w:sz w:val="30"/>
          <w:szCs w:val="30"/>
          <w:rtl/>
        </w:rPr>
      </w:pPr>
      <w:r w:rsidRPr="0080322D">
        <w:rPr>
          <w:rFonts w:cs="B Mitra"/>
          <w:sz w:val="30"/>
          <w:szCs w:val="30"/>
          <w:rtl/>
        </w:rPr>
        <w:t>به منظور گسترش تبادلات علمی و افزایش توان پژوهشی و آموزشی اعضای هیات علمی</w:t>
      </w:r>
      <w:r w:rsidRPr="0080322D">
        <w:rPr>
          <w:rFonts w:cs="B Mitra" w:hint="cs"/>
          <w:sz w:val="30"/>
          <w:szCs w:val="30"/>
          <w:rtl/>
        </w:rPr>
        <w:t xml:space="preserve"> </w:t>
      </w:r>
      <w:r w:rsidRPr="0080322D">
        <w:rPr>
          <w:rFonts w:cs="B Mitra"/>
          <w:sz w:val="30"/>
          <w:szCs w:val="30"/>
          <w:rtl/>
        </w:rPr>
        <w:t>و دانشجویان دانشگاه، متقاضیان واجد شرایط این دستورالعمل می توانند با استفاده از تسهیلات مقرر در همایشها</w:t>
      </w:r>
      <w:r w:rsidRPr="0080322D">
        <w:rPr>
          <w:rFonts w:cs="B Mitra" w:hint="cs"/>
          <w:sz w:val="30"/>
          <w:szCs w:val="30"/>
          <w:rtl/>
        </w:rPr>
        <w:t xml:space="preserve">ی داخلی و خارجی </w:t>
      </w:r>
      <w:r w:rsidRPr="0080322D">
        <w:rPr>
          <w:rFonts w:cs="B Mitra"/>
          <w:sz w:val="30"/>
          <w:szCs w:val="30"/>
          <w:rtl/>
        </w:rPr>
        <w:t>شرکت نمایند</w:t>
      </w:r>
      <w:r w:rsidRPr="0080322D">
        <w:rPr>
          <w:rFonts w:cs="B Mitra"/>
          <w:sz w:val="30"/>
          <w:szCs w:val="30"/>
        </w:rPr>
        <w:t>.</w:t>
      </w:r>
    </w:p>
    <w:p w:rsidR="003853FE" w:rsidRPr="0080322D" w:rsidRDefault="005C5E79" w:rsidP="003853FE">
      <w:pPr>
        <w:pStyle w:val="NormalWeb"/>
        <w:bidi/>
        <w:rPr>
          <w:rFonts w:cs="B Mitra"/>
          <w:sz w:val="26"/>
          <w:szCs w:val="26"/>
          <w:rtl/>
        </w:rPr>
      </w:pPr>
      <w:r w:rsidRPr="0080322D">
        <w:rPr>
          <w:rFonts w:cs="B Mitra" w:hint="cs"/>
          <w:b/>
          <w:bCs/>
          <w:sz w:val="26"/>
          <w:szCs w:val="26"/>
          <w:rtl/>
        </w:rPr>
        <w:t>ماده1</w:t>
      </w:r>
      <w:r w:rsidRPr="0080322D">
        <w:rPr>
          <w:rFonts w:cs="B Mitra" w:hint="cs"/>
          <w:sz w:val="26"/>
          <w:szCs w:val="26"/>
          <w:rtl/>
        </w:rPr>
        <w:t xml:space="preserve">: </w:t>
      </w:r>
      <w:r w:rsidR="003853FE" w:rsidRPr="0080322D">
        <w:rPr>
          <w:rFonts w:cs="B Mitra" w:hint="cs"/>
          <w:sz w:val="26"/>
          <w:szCs w:val="26"/>
          <w:rtl/>
        </w:rPr>
        <w:t>کنگره های داخلی و خارجی بین المللی معتبر مورد قبول است.</w:t>
      </w:r>
    </w:p>
    <w:p w:rsidR="006533DA" w:rsidRPr="0080322D" w:rsidRDefault="005C5E79" w:rsidP="006533DA">
      <w:pPr>
        <w:pStyle w:val="NormalWeb"/>
        <w:bidi/>
        <w:rPr>
          <w:rFonts w:cs="B Mitra"/>
          <w:sz w:val="26"/>
          <w:szCs w:val="26"/>
          <w:rtl/>
        </w:rPr>
      </w:pPr>
      <w:r w:rsidRPr="0080322D">
        <w:rPr>
          <w:rFonts w:cs="B Mitra" w:hint="cs"/>
          <w:b/>
          <w:bCs/>
          <w:sz w:val="26"/>
          <w:szCs w:val="26"/>
          <w:rtl/>
        </w:rPr>
        <w:t>ماده2:</w:t>
      </w:r>
      <w:r w:rsidRPr="0080322D">
        <w:rPr>
          <w:rFonts w:cs="B Mitra" w:hint="cs"/>
          <w:sz w:val="26"/>
          <w:szCs w:val="26"/>
          <w:rtl/>
        </w:rPr>
        <w:t xml:space="preserve"> </w:t>
      </w:r>
      <w:r w:rsidR="006533DA" w:rsidRPr="0080322D">
        <w:rPr>
          <w:rFonts w:cs="B Mitra" w:hint="cs"/>
          <w:sz w:val="26"/>
          <w:szCs w:val="26"/>
          <w:rtl/>
        </w:rPr>
        <w:t xml:space="preserve"> مقاله ارسالي به همايش</w:t>
      </w:r>
      <w:r w:rsidR="0022001F">
        <w:rPr>
          <w:rFonts w:cs="B Mitra" w:hint="cs"/>
          <w:sz w:val="26"/>
          <w:szCs w:val="26"/>
          <w:rtl/>
        </w:rPr>
        <w:t xml:space="preserve"> باید</w:t>
      </w:r>
      <w:r w:rsidR="006533DA" w:rsidRPr="0080322D">
        <w:rPr>
          <w:rFonts w:cs="B Mitra" w:hint="cs"/>
          <w:sz w:val="26"/>
          <w:szCs w:val="26"/>
          <w:rtl/>
        </w:rPr>
        <w:t xml:space="preserve"> حاصل طرح تحقيقاتي مصوب دانشگاه و با آدرس صحيح دانشگاه علوم پزشكي جهرم </w:t>
      </w:r>
      <w:proofErr w:type="spellStart"/>
      <w:r w:rsidR="006533DA" w:rsidRPr="0080322D">
        <w:rPr>
          <w:rFonts w:cs="B Mitra"/>
          <w:sz w:val="26"/>
          <w:szCs w:val="26"/>
        </w:rPr>
        <w:t>Aff</w:t>
      </w:r>
      <w:r w:rsidRPr="0080322D">
        <w:rPr>
          <w:rFonts w:cs="B Mitra"/>
          <w:sz w:val="26"/>
          <w:szCs w:val="26"/>
        </w:rPr>
        <w:t>i</w:t>
      </w:r>
      <w:r w:rsidR="006533DA" w:rsidRPr="0080322D">
        <w:rPr>
          <w:rFonts w:cs="B Mitra"/>
          <w:sz w:val="26"/>
          <w:szCs w:val="26"/>
        </w:rPr>
        <w:t>lation</w:t>
      </w:r>
      <w:proofErr w:type="spellEnd"/>
      <w:r w:rsidR="006533DA" w:rsidRPr="0080322D">
        <w:rPr>
          <w:rFonts w:cs="B Mitra"/>
          <w:sz w:val="26"/>
          <w:szCs w:val="26"/>
        </w:rPr>
        <w:t>)</w:t>
      </w:r>
      <w:r w:rsidR="006533DA" w:rsidRPr="0080322D">
        <w:rPr>
          <w:rFonts w:cs="B Mitra" w:hint="cs"/>
          <w:sz w:val="26"/>
          <w:szCs w:val="26"/>
          <w:rtl/>
        </w:rPr>
        <w:t>)ارسال شده باشد و</w:t>
      </w:r>
      <w:r w:rsidR="006533DA" w:rsidRPr="0080322D">
        <w:rPr>
          <w:rFonts w:cs="B Mitra"/>
          <w:sz w:val="26"/>
          <w:szCs w:val="26"/>
          <w:rtl/>
        </w:rPr>
        <w:t xml:space="preserve"> شرکت کننده جزء مجری یا همکاران آن طرح باشد.</w:t>
      </w:r>
    </w:p>
    <w:p w:rsidR="0009143B" w:rsidRPr="0080322D" w:rsidRDefault="0022001F" w:rsidP="0022001F">
      <w:pPr>
        <w:pStyle w:val="NormalWeb"/>
        <w:bidi/>
        <w:rPr>
          <w:rFonts w:cs="B Mitra"/>
          <w:sz w:val="26"/>
          <w:szCs w:val="26"/>
          <w:rtl/>
        </w:rPr>
      </w:pPr>
      <w:r>
        <w:rPr>
          <w:rFonts w:cs="B Mitra" w:hint="cs"/>
          <w:sz w:val="26"/>
          <w:szCs w:val="26"/>
          <w:rtl/>
        </w:rPr>
        <w:t xml:space="preserve">* </w:t>
      </w:r>
      <w:r w:rsidR="0009143B" w:rsidRPr="0080322D">
        <w:rPr>
          <w:rFonts w:cs="B Mitra" w:hint="cs"/>
          <w:sz w:val="26"/>
          <w:szCs w:val="26"/>
          <w:rtl/>
        </w:rPr>
        <w:t xml:space="preserve"> فرم شرکت در کنگره </w:t>
      </w:r>
      <w:r>
        <w:rPr>
          <w:rFonts w:cs="B Mitra" w:hint="cs"/>
          <w:sz w:val="26"/>
          <w:szCs w:val="26"/>
          <w:rtl/>
        </w:rPr>
        <w:t>باید به تایید</w:t>
      </w:r>
      <w:r w:rsidR="0009143B" w:rsidRPr="0080322D">
        <w:rPr>
          <w:rFonts w:cs="B Mitra" w:hint="cs"/>
          <w:sz w:val="26"/>
          <w:szCs w:val="26"/>
          <w:rtl/>
        </w:rPr>
        <w:t xml:space="preserve"> مدیر گروه/  رییس دانشکده پزشکی یا پیراپزشکی /  معاون يامديرپژوهشي دانشگاه</w:t>
      </w:r>
      <w:r>
        <w:rPr>
          <w:rFonts w:cs="B Mitra" w:hint="cs"/>
          <w:sz w:val="26"/>
          <w:szCs w:val="26"/>
          <w:rtl/>
        </w:rPr>
        <w:t xml:space="preserve"> رسیده باشد.</w:t>
      </w:r>
    </w:p>
    <w:p w:rsidR="0009143B" w:rsidRPr="0080322D" w:rsidRDefault="0009143B" w:rsidP="0022001F">
      <w:pPr>
        <w:pStyle w:val="NormalWeb"/>
        <w:bidi/>
        <w:rPr>
          <w:rFonts w:cs="B Mitra"/>
          <w:sz w:val="26"/>
          <w:szCs w:val="26"/>
          <w:rtl/>
        </w:rPr>
      </w:pPr>
      <w:r w:rsidRPr="0080322D">
        <w:rPr>
          <w:rFonts w:cs="B Mitra" w:hint="cs"/>
          <w:sz w:val="26"/>
          <w:szCs w:val="26"/>
          <w:rtl/>
        </w:rPr>
        <w:t>*</w:t>
      </w:r>
      <w:r w:rsidR="005C5E79" w:rsidRPr="0080322D">
        <w:rPr>
          <w:rFonts w:cs="B Mitra" w:hint="cs"/>
          <w:sz w:val="26"/>
          <w:szCs w:val="26"/>
          <w:rtl/>
        </w:rPr>
        <w:t>قبل از شرکت در کنگره</w:t>
      </w:r>
      <w:r w:rsidR="0022001F">
        <w:rPr>
          <w:rFonts w:cs="B Mitra" w:hint="cs"/>
          <w:sz w:val="26"/>
          <w:szCs w:val="26"/>
          <w:rtl/>
        </w:rPr>
        <w:t xml:space="preserve"> لازم است </w:t>
      </w:r>
      <w:r w:rsidRPr="0080322D">
        <w:rPr>
          <w:rFonts w:cs="B Mitra" w:hint="cs"/>
          <w:sz w:val="26"/>
          <w:szCs w:val="26"/>
          <w:rtl/>
        </w:rPr>
        <w:t xml:space="preserve">فرم </w:t>
      </w:r>
      <w:r w:rsidR="0022001F" w:rsidRPr="0080322D">
        <w:rPr>
          <w:rFonts w:cs="B Mitra" w:hint="cs"/>
          <w:sz w:val="26"/>
          <w:szCs w:val="26"/>
          <w:rtl/>
        </w:rPr>
        <w:t>تكميل</w:t>
      </w:r>
      <w:r w:rsidR="0022001F">
        <w:rPr>
          <w:rFonts w:cs="B Mitra" w:hint="cs"/>
          <w:sz w:val="26"/>
          <w:szCs w:val="26"/>
          <w:rtl/>
        </w:rPr>
        <w:t xml:space="preserve"> شده</w:t>
      </w:r>
      <w:r w:rsidR="0022001F" w:rsidRPr="0080322D">
        <w:rPr>
          <w:rFonts w:cs="B Mitra" w:hint="cs"/>
          <w:sz w:val="26"/>
          <w:szCs w:val="26"/>
          <w:rtl/>
        </w:rPr>
        <w:t xml:space="preserve"> </w:t>
      </w:r>
      <w:r w:rsidR="0022001F">
        <w:rPr>
          <w:rFonts w:cs="B Mitra" w:hint="cs"/>
          <w:sz w:val="26"/>
          <w:szCs w:val="26"/>
          <w:rtl/>
        </w:rPr>
        <w:t xml:space="preserve">در خواست شركت در كنگره ، </w:t>
      </w:r>
      <w:r w:rsidRPr="0080322D">
        <w:rPr>
          <w:rFonts w:cs="B Mitra" w:hint="cs"/>
          <w:sz w:val="26"/>
          <w:szCs w:val="26"/>
          <w:rtl/>
        </w:rPr>
        <w:t xml:space="preserve">چكيده مقاله و </w:t>
      </w:r>
      <w:r w:rsidRPr="0080322D">
        <w:rPr>
          <w:rFonts w:cs="B Mitra"/>
          <w:sz w:val="26"/>
          <w:szCs w:val="26"/>
        </w:rPr>
        <w:t>accept</w:t>
      </w:r>
      <w:r w:rsidRPr="0080322D">
        <w:rPr>
          <w:rFonts w:cs="B Mitra" w:hint="cs"/>
          <w:sz w:val="26"/>
          <w:szCs w:val="26"/>
          <w:rtl/>
        </w:rPr>
        <w:t xml:space="preserve"> آن به واحد پژوهشي</w:t>
      </w:r>
      <w:r w:rsidR="0022001F">
        <w:rPr>
          <w:rFonts w:cs="B Mitra" w:hint="cs"/>
          <w:sz w:val="26"/>
          <w:szCs w:val="26"/>
          <w:rtl/>
        </w:rPr>
        <w:t xml:space="preserve"> ارائه گردد.</w:t>
      </w:r>
    </w:p>
    <w:p w:rsidR="0009143B" w:rsidRPr="0080322D" w:rsidRDefault="005C5E79" w:rsidP="0009143B">
      <w:pPr>
        <w:pStyle w:val="NormalWeb"/>
        <w:bidi/>
        <w:rPr>
          <w:rFonts w:cs="B Mitra"/>
          <w:sz w:val="26"/>
          <w:szCs w:val="26"/>
          <w:rtl/>
        </w:rPr>
      </w:pPr>
      <w:r w:rsidRPr="0080322D">
        <w:rPr>
          <w:rFonts w:cs="B Mitra" w:hint="cs"/>
          <w:b/>
          <w:bCs/>
          <w:sz w:val="26"/>
          <w:szCs w:val="26"/>
          <w:rtl/>
        </w:rPr>
        <w:t>ماده3:</w:t>
      </w:r>
      <w:r w:rsidRPr="0080322D">
        <w:rPr>
          <w:rFonts w:cs="B Mitra" w:hint="cs"/>
          <w:sz w:val="26"/>
          <w:szCs w:val="26"/>
          <w:rtl/>
        </w:rPr>
        <w:t xml:space="preserve"> </w:t>
      </w:r>
      <w:r w:rsidR="0009143B" w:rsidRPr="0080322D">
        <w:rPr>
          <w:rFonts w:cs="B Mitra"/>
          <w:sz w:val="26"/>
          <w:szCs w:val="26"/>
          <w:rtl/>
        </w:rPr>
        <w:t xml:space="preserve"> شرکت در کنگره باید با ارایه ی مقاله باشد</w:t>
      </w:r>
      <w:r w:rsidR="0009143B" w:rsidRPr="0080322D">
        <w:rPr>
          <w:rFonts w:cs="B Mitra" w:hint="cs"/>
          <w:sz w:val="26"/>
          <w:szCs w:val="26"/>
          <w:rtl/>
        </w:rPr>
        <w:t xml:space="preserve"> و </w:t>
      </w:r>
      <w:r w:rsidR="0009143B" w:rsidRPr="0080322D">
        <w:rPr>
          <w:rFonts w:cs="B Mitra"/>
          <w:sz w:val="26"/>
          <w:szCs w:val="26"/>
          <w:rtl/>
        </w:rPr>
        <w:t>تسهیلات فقط به ارائه دهنده ی مقاله در کنگره تعلق می گیرد. برای هر طرح پژوهشی تنها یک بار تسهیلات تعلق خواهد گرفت.</w:t>
      </w:r>
    </w:p>
    <w:p w:rsidR="0009143B" w:rsidRPr="0080322D" w:rsidRDefault="009D6A16" w:rsidP="0009143B">
      <w:pPr>
        <w:pStyle w:val="NormalWeb"/>
        <w:bidi/>
        <w:rPr>
          <w:rFonts w:cs="B Mitra"/>
          <w:sz w:val="26"/>
          <w:szCs w:val="26"/>
          <w:rtl/>
        </w:rPr>
      </w:pPr>
      <w:r w:rsidRPr="0080322D">
        <w:rPr>
          <w:rFonts w:cs="B Mitra" w:hint="cs"/>
          <w:b/>
          <w:bCs/>
          <w:sz w:val="26"/>
          <w:szCs w:val="26"/>
          <w:rtl/>
        </w:rPr>
        <w:t>ماده4:</w:t>
      </w:r>
      <w:r w:rsidR="0009143B" w:rsidRPr="0080322D">
        <w:rPr>
          <w:rFonts w:cs="B Mitra"/>
          <w:sz w:val="26"/>
          <w:szCs w:val="26"/>
          <w:rtl/>
        </w:rPr>
        <w:t xml:space="preserve"> در مقالات مشترک، فقط یک نفر می تواند از تسهیلات دانشگاه استفاده نماید و ضروری است نفرات دیگر رضایت خود را با</w:t>
      </w:r>
      <w:r w:rsidR="002931F5" w:rsidRPr="0080322D">
        <w:rPr>
          <w:rFonts w:cs="B Mitra"/>
          <w:sz w:val="26"/>
          <w:szCs w:val="26"/>
          <w:rtl/>
        </w:rPr>
        <w:t xml:space="preserve"> شرکت فرد مورد نظر اعلام نمایند</w:t>
      </w:r>
      <w:r w:rsidR="0009143B" w:rsidRPr="0080322D">
        <w:rPr>
          <w:rFonts w:cs="B Mitra" w:hint="cs"/>
          <w:sz w:val="26"/>
          <w:szCs w:val="26"/>
          <w:rtl/>
        </w:rPr>
        <w:t>.</w:t>
      </w:r>
    </w:p>
    <w:p w:rsidR="0009143B" w:rsidRPr="0080322D" w:rsidRDefault="009D6A16" w:rsidP="009D6A16">
      <w:pPr>
        <w:pStyle w:val="NormalWeb"/>
        <w:bidi/>
        <w:rPr>
          <w:rFonts w:cs="B Mitra"/>
          <w:sz w:val="26"/>
          <w:szCs w:val="26"/>
          <w:rtl/>
        </w:rPr>
      </w:pPr>
      <w:r w:rsidRPr="0080322D">
        <w:rPr>
          <w:rFonts w:cs="B Mitra" w:hint="cs"/>
          <w:b/>
          <w:bCs/>
          <w:sz w:val="26"/>
          <w:szCs w:val="26"/>
          <w:rtl/>
        </w:rPr>
        <w:t>ماده 5:</w:t>
      </w:r>
      <w:r w:rsidRPr="0080322D">
        <w:rPr>
          <w:rFonts w:cs="B Mitra" w:hint="cs"/>
          <w:sz w:val="26"/>
          <w:szCs w:val="26"/>
          <w:rtl/>
        </w:rPr>
        <w:t xml:space="preserve"> </w:t>
      </w:r>
      <w:r w:rsidR="0009143B" w:rsidRPr="0080322D">
        <w:rPr>
          <w:rFonts w:cs="B Mitra" w:hint="cs"/>
          <w:sz w:val="26"/>
          <w:szCs w:val="26"/>
          <w:rtl/>
        </w:rPr>
        <w:t>اعضاي هي</w:t>
      </w:r>
      <w:r w:rsidRPr="0080322D">
        <w:rPr>
          <w:rFonts w:cs="B Mitra" w:hint="cs"/>
          <w:sz w:val="26"/>
          <w:szCs w:val="26"/>
          <w:rtl/>
        </w:rPr>
        <w:t>ا</w:t>
      </w:r>
      <w:r w:rsidR="0009143B" w:rsidRPr="0080322D">
        <w:rPr>
          <w:rFonts w:cs="B Mitra" w:hint="cs"/>
          <w:sz w:val="26"/>
          <w:szCs w:val="26"/>
          <w:rtl/>
        </w:rPr>
        <w:t xml:space="preserve">ت علمي ، سایر کارکنان دانشگاه (غیر هیات علمی) </w:t>
      </w:r>
      <w:r w:rsidRPr="0080322D">
        <w:rPr>
          <w:rFonts w:cs="B Mitra" w:hint="cs"/>
          <w:sz w:val="26"/>
          <w:szCs w:val="26"/>
          <w:rtl/>
        </w:rPr>
        <w:t xml:space="preserve"> و دانشجویان 1 </w:t>
      </w:r>
      <w:r w:rsidR="0009143B" w:rsidRPr="0080322D">
        <w:rPr>
          <w:rFonts w:cs="B Mitra" w:hint="cs"/>
          <w:sz w:val="26"/>
          <w:szCs w:val="26"/>
          <w:rtl/>
        </w:rPr>
        <w:t>بار در طول سال به عنوان ارائه دهنده پوستر یا سخنرانی</w:t>
      </w:r>
      <w:r w:rsidR="002931F5" w:rsidRPr="0080322D">
        <w:rPr>
          <w:rFonts w:cs="B Mitra" w:hint="cs"/>
          <w:sz w:val="26"/>
          <w:szCs w:val="26"/>
          <w:rtl/>
        </w:rPr>
        <w:t xml:space="preserve"> طبق شرایط موجود در آیین نامه</w:t>
      </w:r>
      <w:r w:rsidR="0009143B" w:rsidRPr="0080322D">
        <w:rPr>
          <w:rFonts w:cs="B Mitra" w:hint="cs"/>
          <w:sz w:val="26"/>
          <w:szCs w:val="26"/>
          <w:rtl/>
        </w:rPr>
        <w:t xml:space="preserve"> ( موضوع كنگره مي تواند تخصصي يا آموزشي باشد)</w:t>
      </w:r>
      <w:r w:rsidRPr="0080322D">
        <w:rPr>
          <w:rFonts w:cs="B Mitra" w:hint="cs"/>
          <w:sz w:val="26"/>
          <w:szCs w:val="26"/>
          <w:rtl/>
        </w:rPr>
        <w:t xml:space="preserve"> می توانند در کنگره بین المللی معتبر شرکت نمایند.</w:t>
      </w:r>
    </w:p>
    <w:p w:rsidR="006251B7" w:rsidRPr="0080322D" w:rsidRDefault="009D6A16" w:rsidP="0080322D">
      <w:pPr>
        <w:pStyle w:val="NormalWeb"/>
        <w:bidi/>
        <w:rPr>
          <w:rFonts w:cs="B Mitra"/>
          <w:sz w:val="26"/>
          <w:szCs w:val="26"/>
          <w:rtl/>
        </w:rPr>
      </w:pPr>
      <w:r w:rsidRPr="0080322D">
        <w:rPr>
          <w:rFonts w:cs="B Mitra" w:hint="cs"/>
          <w:b/>
          <w:bCs/>
          <w:sz w:val="26"/>
          <w:szCs w:val="26"/>
          <w:rtl/>
        </w:rPr>
        <w:t>ماده</w:t>
      </w:r>
      <w:r w:rsidRPr="0080322D">
        <w:rPr>
          <w:rFonts w:cs="B Mitra"/>
          <w:b/>
          <w:bCs/>
          <w:sz w:val="26"/>
          <w:szCs w:val="26"/>
          <w:rtl/>
        </w:rPr>
        <w:t xml:space="preserve"> </w:t>
      </w:r>
      <w:r w:rsidRPr="0080322D">
        <w:rPr>
          <w:rFonts w:cs="B Mitra" w:hint="cs"/>
          <w:b/>
          <w:bCs/>
          <w:sz w:val="26"/>
          <w:szCs w:val="26"/>
          <w:rtl/>
        </w:rPr>
        <w:t>6 :</w:t>
      </w:r>
      <w:r w:rsidRPr="0080322D">
        <w:rPr>
          <w:rFonts w:cs="B Mitra" w:hint="cs"/>
          <w:sz w:val="26"/>
          <w:szCs w:val="26"/>
          <w:rtl/>
        </w:rPr>
        <w:t xml:space="preserve"> </w:t>
      </w:r>
      <w:r w:rsidR="006251B7" w:rsidRPr="0080322D">
        <w:rPr>
          <w:rFonts w:cs="B Mitra"/>
          <w:sz w:val="26"/>
          <w:szCs w:val="26"/>
          <w:rtl/>
        </w:rPr>
        <w:t xml:space="preserve">برای اعضای هیات علمی و کارمندان </w:t>
      </w:r>
      <w:r w:rsidR="00A2200B" w:rsidRPr="0080322D">
        <w:rPr>
          <w:rFonts w:cs="B Mitra" w:hint="cs"/>
          <w:sz w:val="26"/>
          <w:szCs w:val="26"/>
          <w:rtl/>
        </w:rPr>
        <w:t>در کنگره های داخلی و خارجی ماموریتی که داده می شود بدون وجه بوده و ایاب و ذهاب به کنگره ها نیز حذف گردید.(مصوبه شورای دانشگاه مورخ 20/2/95)</w:t>
      </w:r>
    </w:p>
    <w:p w:rsidR="006533DA" w:rsidRDefault="009D6A16" w:rsidP="0080322D">
      <w:pPr>
        <w:pStyle w:val="NormalWeb"/>
        <w:bidi/>
        <w:rPr>
          <w:rFonts w:cs="B Mitra"/>
          <w:sz w:val="26"/>
          <w:szCs w:val="26"/>
          <w:rtl/>
        </w:rPr>
      </w:pPr>
      <w:r w:rsidRPr="004F5CC1">
        <w:rPr>
          <w:rFonts w:cs="B Mitra" w:hint="cs"/>
          <w:b/>
          <w:bCs/>
          <w:sz w:val="26"/>
          <w:szCs w:val="26"/>
          <w:rtl/>
        </w:rPr>
        <w:t>ت</w:t>
      </w:r>
      <w:r w:rsidRPr="0080322D">
        <w:rPr>
          <w:rFonts w:cs="B Mitra" w:hint="cs"/>
          <w:b/>
          <w:bCs/>
          <w:sz w:val="26"/>
          <w:szCs w:val="26"/>
          <w:rtl/>
        </w:rPr>
        <w:t xml:space="preserve">بصره1: </w:t>
      </w:r>
      <w:r w:rsidR="006533DA" w:rsidRPr="0080322D">
        <w:rPr>
          <w:rFonts w:cs="B Mitra"/>
          <w:sz w:val="26"/>
          <w:szCs w:val="26"/>
          <w:rtl/>
        </w:rPr>
        <w:t>طرح های پژوهشی که با همکاری اعضای هیات علمی و دانشجو می باشد، در صورت موافقت معاونت تحقیقات می توانند یک بار به صورت دانشجویی و یک بار هیات علمی ارایه شوند.</w:t>
      </w:r>
    </w:p>
    <w:p w:rsidR="00CB22FD" w:rsidRPr="0080322D" w:rsidRDefault="00A2200B" w:rsidP="0080322D">
      <w:pPr>
        <w:ind w:left="720" w:hanging="720"/>
        <w:rPr>
          <w:rFonts w:cs="B Mitra"/>
          <w:sz w:val="26"/>
          <w:szCs w:val="26"/>
          <w:rtl/>
        </w:rPr>
      </w:pPr>
      <w:r w:rsidRPr="0080322D">
        <w:rPr>
          <w:rFonts w:cs="B Mitra" w:hint="cs"/>
          <w:sz w:val="26"/>
          <w:szCs w:val="26"/>
          <w:rtl/>
        </w:rPr>
        <w:t xml:space="preserve">     </w:t>
      </w:r>
      <w:r w:rsidR="00CB22FD" w:rsidRPr="0080322D">
        <w:rPr>
          <w:rFonts w:cs="B Titr" w:hint="cs"/>
          <w:color w:val="C00000"/>
          <w:sz w:val="24"/>
          <w:szCs w:val="24"/>
          <w:rtl/>
        </w:rPr>
        <w:t>بعد از شرکت در همایش جهت پرداخت هزینه ارائه مدارک زیر ضروری است:</w:t>
      </w:r>
    </w:p>
    <w:p w:rsidR="00CB22FD" w:rsidRPr="0080322D" w:rsidRDefault="00CB22FD" w:rsidP="0080322D">
      <w:pPr>
        <w:pStyle w:val="NormalWeb"/>
        <w:bidi/>
        <w:rPr>
          <w:rFonts w:cs="B Mitra"/>
          <w:sz w:val="26"/>
          <w:szCs w:val="26"/>
          <w:rtl/>
        </w:rPr>
      </w:pPr>
      <w:r w:rsidRPr="0080322D">
        <w:rPr>
          <w:rFonts w:cs="B Mitra" w:hint="cs"/>
          <w:sz w:val="26"/>
          <w:szCs w:val="26"/>
          <w:rtl/>
        </w:rPr>
        <w:t>*</w:t>
      </w:r>
      <w:r w:rsidRPr="0080322D">
        <w:rPr>
          <w:rFonts w:cs="B Mitra"/>
          <w:sz w:val="26"/>
          <w:szCs w:val="26"/>
          <w:rtl/>
        </w:rPr>
        <w:t xml:space="preserve"> گواهی حضور </w:t>
      </w:r>
      <w:r w:rsidRPr="0080322D">
        <w:rPr>
          <w:rFonts w:cs="B Mitra" w:hint="cs"/>
          <w:sz w:val="26"/>
          <w:szCs w:val="26"/>
          <w:rtl/>
        </w:rPr>
        <w:t>یا</w:t>
      </w:r>
      <w:r w:rsidRPr="0080322D">
        <w:rPr>
          <w:rFonts w:cs="B Mitra"/>
          <w:sz w:val="26"/>
          <w:szCs w:val="26"/>
          <w:rtl/>
        </w:rPr>
        <w:t xml:space="preserve"> گواهی ارایه مقاله، چکیده ی چاپ شده در کتابچه مقالات همایش، فیش های واریزی جهت شرکت در همایش، ارایه ی تصویر سایت مبنی بر هزینه های ثبت نام و اسکان</w:t>
      </w:r>
    </w:p>
    <w:p w:rsidR="00A36B08" w:rsidRPr="0080322D" w:rsidRDefault="00A36B08" w:rsidP="008F530E">
      <w:pPr>
        <w:pStyle w:val="NormalWeb"/>
        <w:bidi/>
        <w:rPr>
          <w:rFonts w:cs="B Mitra"/>
          <w:sz w:val="26"/>
          <w:szCs w:val="26"/>
          <w:rtl/>
        </w:rPr>
      </w:pPr>
      <w:r w:rsidRPr="0080322D">
        <w:rPr>
          <w:rFonts w:cs="B Mitra" w:hint="cs"/>
          <w:sz w:val="26"/>
          <w:szCs w:val="26"/>
          <w:rtl/>
        </w:rPr>
        <w:t xml:space="preserve">        * پرداخت هزینه ها</w:t>
      </w:r>
      <w:r w:rsidR="008F530E">
        <w:rPr>
          <w:rFonts w:cs="B Mitra" w:hint="cs"/>
          <w:sz w:val="26"/>
          <w:szCs w:val="26"/>
          <w:rtl/>
        </w:rPr>
        <w:t xml:space="preserve"> تا سقف تعیین شده</w:t>
      </w:r>
      <w:r w:rsidRPr="0080322D">
        <w:rPr>
          <w:rFonts w:cs="B Mitra" w:hint="cs"/>
          <w:sz w:val="26"/>
          <w:szCs w:val="26"/>
          <w:rtl/>
        </w:rPr>
        <w:t xml:space="preserve"> در قبال ارائه اسناد و مدارک مربوطه</w:t>
      </w:r>
      <w:r w:rsidR="008F530E">
        <w:rPr>
          <w:rFonts w:cs="B Mitra" w:hint="cs"/>
          <w:sz w:val="26"/>
          <w:szCs w:val="26"/>
          <w:rtl/>
        </w:rPr>
        <w:t xml:space="preserve">، </w:t>
      </w:r>
      <w:r w:rsidRPr="0080322D">
        <w:rPr>
          <w:rFonts w:cs="B Mitra" w:hint="cs"/>
          <w:sz w:val="26"/>
          <w:szCs w:val="26"/>
          <w:rtl/>
        </w:rPr>
        <w:t xml:space="preserve">پس از بازگشت از سفر انجام خواهد شد.  </w:t>
      </w:r>
      <w:r w:rsidRPr="0080322D">
        <w:rPr>
          <w:rFonts w:ascii="Cambria" w:hAnsi="Cambria" w:cs="Cambria" w:hint="cs"/>
          <w:sz w:val="26"/>
          <w:szCs w:val="26"/>
          <w:rtl/>
        </w:rPr>
        <w:t> </w:t>
      </w:r>
    </w:p>
    <w:p w:rsidR="00CB22FD" w:rsidRPr="0080322D" w:rsidRDefault="00CB22FD" w:rsidP="0080322D">
      <w:pPr>
        <w:pStyle w:val="NormalWeb"/>
        <w:bidi/>
        <w:rPr>
          <w:rFonts w:cs="B Mitra"/>
          <w:sz w:val="26"/>
          <w:szCs w:val="26"/>
          <w:rtl/>
        </w:rPr>
      </w:pPr>
      <w:r w:rsidRPr="0080322D">
        <w:rPr>
          <w:rFonts w:cs="B Mitra" w:hint="cs"/>
          <w:sz w:val="26"/>
          <w:szCs w:val="26"/>
          <w:rtl/>
        </w:rPr>
        <w:lastRenderedPageBreak/>
        <w:t>*</w:t>
      </w:r>
      <w:r w:rsidRPr="0080322D">
        <w:rPr>
          <w:rFonts w:cs="B Mitra"/>
          <w:sz w:val="26"/>
          <w:szCs w:val="26"/>
          <w:rtl/>
        </w:rPr>
        <w:t xml:space="preserve">کلیه مدارک باید ظرف حداکثر </w:t>
      </w:r>
      <w:r w:rsidR="002B7BBD" w:rsidRPr="0080322D">
        <w:rPr>
          <w:rFonts w:cs="B Mitra" w:hint="cs"/>
          <w:sz w:val="26"/>
          <w:szCs w:val="26"/>
          <w:rtl/>
        </w:rPr>
        <w:t>پ</w:t>
      </w:r>
      <w:r w:rsidRPr="0080322D">
        <w:rPr>
          <w:rFonts w:cs="B Mitra"/>
          <w:sz w:val="26"/>
          <w:szCs w:val="26"/>
          <w:rtl/>
        </w:rPr>
        <w:t>انزده روز پس از برگزاری همایش به معاونت پژوهشی واحد مربوطه تحویل گردد. به درخواستهای پس از این زمان تسهیلات تعلق نخواهد گرفت.</w:t>
      </w:r>
    </w:p>
    <w:p w:rsidR="00173DB3" w:rsidRPr="0080322D" w:rsidRDefault="00A2200B" w:rsidP="008F530E">
      <w:pPr>
        <w:pStyle w:val="NormalWeb"/>
        <w:bidi/>
        <w:rPr>
          <w:rFonts w:cs="B Mitra"/>
          <w:sz w:val="26"/>
          <w:szCs w:val="26"/>
          <w:rtl/>
        </w:rPr>
      </w:pPr>
      <w:r w:rsidRPr="0080322D">
        <w:rPr>
          <w:rFonts w:cs="B Mitra" w:hint="cs"/>
          <w:sz w:val="26"/>
          <w:szCs w:val="26"/>
          <w:rtl/>
        </w:rPr>
        <w:t xml:space="preserve">ماده7: </w:t>
      </w:r>
      <w:r w:rsidR="00CB22FD" w:rsidRPr="0080322D">
        <w:rPr>
          <w:rFonts w:cs="B Mitra" w:hint="cs"/>
          <w:sz w:val="26"/>
          <w:szCs w:val="26"/>
          <w:rtl/>
        </w:rPr>
        <w:t xml:space="preserve"> هزينه تشويقي</w:t>
      </w:r>
      <w:r w:rsidRPr="0080322D">
        <w:rPr>
          <w:rFonts w:cs="B Mitra" w:hint="cs"/>
          <w:sz w:val="26"/>
          <w:szCs w:val="26"/>
          <w:rtl/>
        </w:rPr>
        <w:t xml:space="preserve"> در موارد بیش از یک</w:t>
      </w:r>
      <w:r w:rsidR="00CB22FD" w:rsidRPr="0080322D">
        <w:rPr>
          <w:rFonts w:cs="B Mitra" w:hint="cs"/>
          <w:sz w:val="26"/>
          <w:szCs w:val="26"/>
          <w:rtl/>
        </w:rPr>
        <w:t xml:space="preserve"> چکیده مقاله در کنگره های داخلی و خارجی</w:t>
      </w:r>
      <w:r w:rsidR="00173DB3" w:rsidRPr="0080322D">
        <w:rPr>
          <w:rFonts w:cs="B Mitra" w:hint="cs"/>
          <w:sz w:val="26"/>
          <w:szCs w:val="26"/>
          <w:rtl/>
        </w:rPr>
        <w:t xml:space="preserve"> بین المللی معتبر</w:t>
      </w:r>
      <w:r w:rsidR="00CB22FD" w:rsidRPr="0080322D">
        <w:rPr>
          <w:rFonts w:cs="B Mitra" w:hint="cs"/>
          <w:sz w:val="26"/>
          <w:szCs w:val="26"/>
          <w:rtl/>
        </w:rPr>
        <w:t xml:space="preserve"> (پوستر-سخنراني) جهت كارمندان و اعضاي هيئت علمي</w:t>
      </w:r>
      <w:r w:rsidR="00173DB3" w:rsidRPr="0080322D">
        <w:rPr>
          <w:rFonts w:cs="B Mitra" w:hint="cs"/>
          <w:sz w:val="26"/>
          <w:szCs w:val="26"/>
          <w:rtl/>
        </w:rPr>
        <w:t xml:space="preserve"> به ازاي هر چکیده مقاله</w:t>
      </w:r>
      <w:r w:rsidR="00CB22FD" w:rsidRPr="0080322D">
        <w:rPr>
          <w:rFonts w:cs="B Mitra" w:hint="cs"/>
          <w:sz w:val="26"/>
          <w:szCs w:val="26"/>
          <w:rtl/>
        </w:rPr>
        <w:t xml:space="preserve"> </w:t>
      </w:r>
      <w:r w:rsidRPr="0080322D">
        <w:rPr>
          <w:rFonts w:cs="B Mitra" w:hint="cs"/>
          <w:sz w:val="26"/>
          <w:szCs w:val="26"/>
          <w:rtl/>
        </w:rPr>
        <w:t>مبلغ000/500 ریال</w:t>
      </w:r>
      <w:r w:rsidR="00173DB3" w:rsidRPr="0080322D">
        <w:rPr>
          <w:rFonts w:cs="B Mitra" w:hint="cs"/>
          <w:sz w:val="26"/>
          <w:szCs w:val="26"/>
          <w:rtl/>
        </w:rPr>
        <w:t xml:space="preserve"> </w:t>
      </w:r>
      <w:r w:rsidR="008F530E">
        <w:rPr>
          <w:rFonts w:cs="B Mitra" w:hint="cs"/>
          <w:sz w:val="26"/>
          <w:szCs w:val="26"/>
          <w:rtl/>
        </w:rPr>
        <w:t>می باشد.</w:t>
      </w:r>
      <w:r w:rsidRPr="0080322D">
        <w:rPr>
          <w:rFonts w:cs="B Mitra" w:hint="cs"/>
          <w:sz w:val="26"/>
          <w:szCs w:val="26"/>
          <w:rtl/>
        </w:rPr>
        <w:t xml:space="preserve"> </w:t>
      </w:r>
      <w:r w:rsidR="00CB22FD" w:rsidRPr="0080322D">
        <w:rPr>
          <w:rFonts w:cs="B Mitra" w:hint="cs"/>
          <w:sz w:val="26"/>
          <w:szCs w:val="26"/>
          <w:rtl/>
        </w:rPr>
        <w:t>(مصوبه شورای دانشگاه</w:t>
      </w:r>
      <w:r w:rsidR="00CB22FD" w:rsidRPr="00C6220A">
        <w:rPr>
          <w:rFonts w:cs="B Mitra" w:hint="cs"/>
          <w:sz w:val="26"/>
          <w:szCs w:val="26"/>
          <w:rtl/>
        </w:rPr>
        <w:t xml:space="preserve"> مورخ مصوبه 9/5/91)</w:t>
      </w:r>
      <w:r w:rsidR="00173DB3" w:rsidRPr="0080322D">
        <w:rPr>
          <w:rFonts w:cs="B Mitra" w:hint="cs"/>
          <w:sz w:val="26"/>
          <w:szCs w:val="26"/>
          <w:rtl/>
        </w:rPr>
        <w:t xml:space="preserve">        </w:t>
      </w:r>
    </w:p>
    <w:p w:rsidR="004B6E94" w:rsidRPr="004B6E94" w:rsidRDefault="00E06BAD" w:rsidP="00E06BAD">
      <w:pPr>
        <w:ind w:left="720" w:hanging="720"/>
        <w:rPr>
          <w:rFonts w:cs="B Titr"/>
          <w:b/>
          <w:bCs/>
          <w:color w:val="C00000"/>
          <w:sz w:val="30"/>
          <w:szCs w:val="30"/>
        </w:rPr>
      </w:pPr>
      <w:r w:rsidRPr="00E06BAD">
        <w:rPr>
          <w:rFonts w:cs="B Titr" w:hint="cs"/>
          <w:color w:val="C00000"/>
          <w:sz w:val="30"/>
          <w:szCs w:val="30"/>
          <w:rtl/>
        </w:rPr>
        <w:t xml:space="preserve">جدول شماره1: </w:t>
      </w:r>
      <w:r w:rsidR="004B6E94" w:rsidRPr="004B6E94">
        <w:rPr>
          <w:rFonts w:cs="B Titr"/>
          <w:color w:val="C00000"/>
          <w:sz w:val="30"/>
          <w:szCs w:val="30"/>
          <w:rtl/>
        </w:rPr>
        <w:t>پرداخت تسهیلات</w:t>
      </w:r>
      <w:r w:rsidR="009D6A16">
        <w:rPr>
          <w:rFonts w:cs="B Titr" w:hint="cs"/>
          <w:b/>
          <w:bCs/>
          <w:color w:val="C00000"/>
          <w:sz w:val="30"/>
          <w:szCs w:val="30"/>
          <w:rtl/>
        </w:rPr>
        <w:t xml:space="preserve"> جهت کنگره های داخلی:</w:t>
      </w:r>
    </w:p>
    <w:p w:rsidR="00921590" w:rsidRPr="00C206AF" w:rsidRDefault="008F530E" w:rsidP="008F530E">
      <w:pPr>
        <w:pStyle w:val="NormalWeb"/>
        <w:bidi/>
        <w:rPr>
          <w:rFonts w:cs="B Mitra"/>
          <w:sz w:val="26"/>
          <w:szCs w:val="26"/>
          <w:rtl/>
        </w:rPr>
      </w:pPr>
      <w:r>
        <w:rPr>
          <w:rFonts w:cs="B Mitra" w:hint="cs"/>
          <w:sz w:val="26"/>
          <w:szCs w:val="26"/>
          <w:rtl/>
        </w:rPr>
        <w:t>* **کل</w:t>
      </w:r>
      <w:r w:rsidR="00921590" w:rsidRPr="00C206AF">
        <w:rPr>
          <w:rFonts w:cs="B Mitra" w:hint="cs"/>
          <w:sz w:val="26"/>
          <w:szCs w:val="26"/>
          <w:rtl/>
        </w:rPr>
        <w:t xml:space="preserve"> هزينه </w:t>
      </w:r>
      <w:r>
        <w:rPr>
          <w:rFonts w:cs="B Mitra" w:hint="cs"/>
          <w:sz w:val="26"/>
          <w:szCs w:val="26"/>
          <w:rtl/>
        </w:rPr>
        <w:t xml:space="preserve">پرداختی جهت شرکت در </w:t>
      </w:r>
      <w:r w:rsidR="00921590" w:rsidRPr="00C206AF">
        <w:rPr>
          <w:rFonts w:cs="B Mitra" w:hint="cs"/>
          <w:sz w:val="26"/>
          <w:szCs w:val="26"/>
          <w:rtl/>
        </w:rPr>
        <w:t>كنگره</w:t>
      </w:r>
      <w:r w:rsidR="001A6844" w:rsidRPr="00C206AF">
        <w:rPr>
          <w:rFonts w:cs="B Mitra" w:hint="cs"/>
          <w:sz w:val="26"/>
          <w:szCs w:val="26"/>
          <w:rtl/>
        </w:rPr>
        <w:t xml:space="preserve"> در شهرهای مختلف</w:t>
      </w:r>
      <w:r w:rsidR="004B6E94" w:rsidRPr="00C206AF">
        <w:rPr>
          <w:rFonts w:cs="B Mitra" w:hint="cs"/>
          <w:sz w:val="26"/>
          <w:szCs w:val="26"/>
          <w:rtl/>
        </w:rPr>
        <w:t xml:space="preserve"> </w:t>
      </w:r>
      <w:r w:rsidR="00613A55" w:rsidRPr="00C206AF">
        <w:rPr>
          <w:rFonts w:cs="B Mitra" w:hint="cs"/>
          <w:sz w:val="26"/>
          <w:szCs w:val="26"/>
          <w:rtl/>
        </w:rPr>
        <w:t xml:space="preserve">طبق مصوبه شورای دانشگاه مورخ </w:t>
      </w:r>
      <w:r w:rsidR="00851149" w:rsidRPr="00C206AF">
        <w:rPr>
          <w:rFonts w:cs="B Mitra" w:hint="cs"/>
          <w:sz w:val="26"/>
          <w:szCs w:val="26"/>
          <w:rtl/>
        </w:rPr>
        <w:t>17/04/98</w:t>
      </w:r>
      <w:r w:rsidR="001A6844" w:rsidRPr="00C206AF">
        <w:rPr>
          <w:rFonts w:cs="B Mitra" w:hint="cs"/>
          <w:sz w:val="26"/>
          <w:szCs w:val="26"/>
          <w:rtl/>
        </w:rPr>
        <w:t xml:space="preserve"> به شرح </w:t>
      </w:r>
      <w:r>
        <w:rPr>
          <w:rFonts w:cs="B Mitra" w:hint="cs"/>
          <w:sz w:val="26"/>
          <w:szCs w:val="26"/>
          <w:rtl/>
        </w:rPr>
        <w:t xml:space="preserve">جدول </w:t>
      </w:r>
      <w:r w:rsidR="001A6844" w:rsidRPr="00C206AF">
        <w:rPr>
          <w:rFonts w:cs="B Mitra" w:hint="cs"/>
          <w:sz w:val="26"/>
          <w:szCs w:val="26"/>
          <w:rtl/>
        </w:rPr>
        <w:t>ذیل</w:t>
      </w:r>
      <w:r w:rsidR="00921590" w:rsidRPr="00C206AF">
        <w:rPr>
          <w:rFonts w:cs="B Mitra" w:hint="cs"/>
          <w:sz w:val="26"/>
          <w:szCs w:val="26"/>
          <w:rtl/>
        </w:rPr>
        <w:t xml:space="preserve"> مي باشد:</w:t>
      </w:r>
      <w:r w:rsidR="00266B26" w:rsidRPr="00C206AF">
        <w:rPr>
          <w:rFonts w:cs="B Mitra" w:hint="cs"/>
          <w:sz w:val="26"/>
          <w:szCs w:val="26"/>
          <w:rtl/>
        </w:rPr>
        <w:t xml:space="preserve"> </w:t>
      </w:r>
    </w:p>
    <w:tbl>
      <w:tblPr>
        <w:tblStyle w:val="TableGrid"/>
        <w:bidiVisual/>
        <w:tblW w:w="0" w:type="auto"/>
        <w:tblInd w:w="454" w:type="dxa"/>
        <w:tblLook w:val="04A0" w:firstRow="1" w:lastRow="0" w:firstColumn="1" w:lastColumn="0" w:noHBand="0" w:noVBand="1"/>
      </w:tblPr>
      <w:tblGrid>
        <w:gridCol w:w="3545"/>
        <w:gridCol w:w="2410"/>
      </w:tblGrid>
      <w:tr w:rsidR="00613A55" w:rsidRPr="00C206AF" w:rsidTr="00C206AF">
        <w:tc>
          <w:tcPr>
            <w:tcW w:w="3545" w:type="dxa"/>
          </w:tcPr>
          <w:p w:rsidR="001A6844" w:rsidRPr="00C206AF" w:rsidRDefault="001A6844" w:rsidP="00C206AF">
            <w:pPr>
              <w:pStyle w:val="NormalWeb"/>
              <w:bidi/>
              <w:rPr>
                <w:rFonts w:cs="B Mitra"/>
                <w:b/>
                <w:bCs/>
                <w:sz w:val="26"/>
                <w:szCs w:val="26"/>
                <w:rtl/>
              </w:rPr>
            </w:pPr>
            <w:r w:rsidRPr="00C206AF">
              <w:rPr>
                <w:rFonts w:cs="B Mitra" w:hint="cs"/>
                <w:b/>
                <w:bCs/>
                <w:sz w:val="26"/>
                <w:szCs w:val="26"/>
                <w:rtl/>
              </w:rPr>
              <w:t>نام شهر</w:t>
            </w:r>
          </w:p>
        </w:tc>
        <w:tc>
          <w:tcPr>
            <w:tcW w:w="2410" w:type="dxa"/>
          </w:tcPr>
          <w:p w:rsidR="001A6844" w:rsidRPr="00C206AF" w:rsidRDefault="00572DBB" w:rsidP="00C206AF">
            <w:pPr>
              <w:pStyle w:val="NormalWeb"/>
              <w:bidi/>
              <w:rPr>
                <w:rFonts w:cs="B Mitra"/>
                <w:b/>
                <w:bCs/>
                <w:sz w:val="26"/>
                <w:szCs w:val="26"/>
                <w:rtl/>
              </w:rPr>
            </w:pPr>
            <w:r w:rsidRPr="00C206AF">
              <w:rPr>
                <w:rFonts w:cs="B Mitra" w:hint="cs"/>
                <w:b/>
                <w:bCs/>
                <w:sz w:val="26"/>
                <w:szCs w:val="26"/>
                <w:rtl/>
              </w:rPr>
              <w:t>میزان پرداختی</w:t>
            </w:r>
            <w:r w:rsidR="005E25CB" w:rsidRPr="00C206AF">
              <w:rPr>
                <w:rFonts w:cs="B Mitra" w:hint="cs"/>
                <w:b/>
                <w:bCs/>
                <w:sz w:val="26"/>
                <w:szCs w:val="26"/>
                <w:rtl/>
              </w:rPr>
              <w:t>(ریال)</w:t>
            </w:r>
          </w:p>
        </w:tc>
      </w:tr>
      <w:tr w:rsidR="00613A55" w:rsidRPr="00C206AF" w:rsidTr="00C206AF">
        <w:tc>
          <w:tcPr>
            <w:tcW w:w="3545" w:type="dxa"/>
          </w:tcPr>
          <w:p w:rsidR="001A6844" w:rsidRPr="00C206AF" w:rsidRDefault="005E25CB" w:rsidP="00C206AF">
            <w:pPr>
              <w:pStyle w:val="NormalWeb"/>
              <w:bidi/>
              <w:rPr>
                <w:rFonts w:cs="B Mitra"/>
                <w:sz w:val="26"/>
                <w:szCs w:val="26"/>
                <w:rtl/>
              </w:rPr>
            </w:pPr>
            <w:r w:rsidRPr="00C206AF">
              <w:rPr>
                <w:rFonts w:cs="B Mitra" w:hint="cs"/>
                <w:sz w:val="26"/>
                <w:szCs w:val="26"/>
                <w:rtl/>
              </w:rPr>
              <w:t>تهران</w:t>
            </w:r>
          </w:p>
        </w:tc>
        <w:tc>
          <w:tcPr>
            <w:tcW w:w="2410" w:type="dxa"/>
          </w:tcPr>
          <w:p w:rsidR="001A6844" w:rsidRPr="00C206AF" w:rsidRDefault="00266B26" w:rsidP="00C206AF">
            <w:pPr>
              <w:pStyle w:val="NormalWeb"/>
              <w:bidi/>
              <w:rPr>
                <w:rFonts w:cs="B Mitra"/>
                <w:sz w:val="26"/>
                <w:szCs w:val="26"/>
                <w:rtl/>
              </w:rPr>
            </w:pPr>
            <w:r w:rsidRPr="00C206AF">
              <w:rPr>
                <w:rFonts w:cs="B Mitra" w:hint="cs"/>
                <w:sz w:val="26"/>
                <w:szCs w:val="26"/>
                <w:rtl/>
              </w:rPr>
              <w:t>000/000/10</w:t>
            </w:r>
          </w:p>
        </w:tc>
      </w:tr>
      <w:tr w:rsidR="00613A55" w:rsidRPr="00C206AF" w:rsidTr="00C206AF">
        <w:tc>
          <w:tcPr>
            <w:tcW w:w="3545" w:type="dxa"/>
          </w:tcPr>
          <w:p w:rsidR="001A6844" w:rsidRPr="00C206AF" w:rsidRDefault="00572DBB" w:rsidP="00C206AF">
            <w:pPr>
              <w:pStyle w:val="NormalWeb"/>
              <w:bidi/>
              <w:rPr>
                <w:rFonts w:cs="B Mitra"/>
                <w:sz w:val="26"/>
                <w:szCs w:val="26"/>
                <w:rtl/>
              </w:rPr>
            </w:pPr>
            <w:r w:rsidRPr="00C206AF">
              <w:rPr>
                <w:rFonts w:cs="B Mitra" w:hint="cs"/>
                <w:sz w:val="26"/>
                <w:szCs w:val="26"/>
                <w:rtl/>
              </w:rPr>
              <w:t>آذربایجان غربی، آذربایجان شرقی، اردبیل، زنجان، کردستان، کرمانشاه، همدان، ایلام، خرم آباد، خراسان رضوی، خراسان شمالی، خراسان جنوبی، خوزستان، سمنان، گلستان، مازندران، سیستان و بلوچستان، تبریز</w:t>
            </w:r>
          </w:p>
        </w:tc>
        <w:tc>
          <w:tcPr>
            <w:tcW w:w="2410" w:type="dxa"/>
          </w:tcPr>
          <w:p w:rsidR="001A6844" w:rsidRPr="00C206AF" w:rsidRDefault="00266B26" w:rsidP="00C206AF">
            <w:pPr>
              <w:pStyle w:val="NormalWeb"/>
              <w:bidi/>
              <w:rPr>
                <w:rFonts w:cs="B Mitra"/>
                <w:sz w:val="26"/>
                <w:szCs w:val="26"/>
                <w:rtl/>
              </w:rPr>
            </w:pPr>
            <w:r w:rsidRPr="00C206AF">
              <w:rPr>
                <w:rFonts w:cs="B Mitra" w:hint="cs"/>
                <w:sz w:val="26"/>
                <w:szCs w:val="26"/>
                <w:rtl/>
              </w:rPr>
              <w:t>000/000/14</w:t>
            </w:r>
          </w:p>
        </w:tc>
      </w:tr>
      <w:tr w:rsidR="00572DBB" w:rsidRPr="00C206AF" w:rsidTr="00C206AF">
        <w:tc>
          <w:tcPr>
            <w:tcW w:w="3545" w:type="dxa"/>
          </w:tcPr>
          <w:p w:rsidR="00572DBB" w:rsidRPr="00C206AF" w:rsidRDefault="00572DBB" w:rsidP="00C206AF">
            <w:pPr>
              <w:pStyle w:val="NormalWeb"/>
              <w:bidi/>
              <w:rPr>
                <w:rFonts w:cs="B Mitra"/>
                <w:sz w:val="26"/>
                <w:szCs w:val="26"/>
                <w:rtl/>
              </w:rPr>
            </w:pPr>
            <w:r w:rsidRPr="00C206AF">
              <w:rPr>
                <w:rFonts w:cs="B Mitra" w:hint="cs"/>
                <w:sz w:val="26"/>
                <w:szCs w:val="26"/>
                <w:rtl/>
              </w:rPr>
              <w:t>هرمزگان، کرمان، یزد، کیش، اصفهان، یاسوج، بوشهر</w:t>
            </w:r>
          </w:p>
        </w:tc>
        <w:tc>
          <w:tcPr>
            <w:tcW w:w="2410" w:type="dxa"/>
          </w:tcPr>
          <w:p w:rsidR="00572DBB" w:rsidRPr="00C206AF" w:rsidRDefault="00266B26" w:rsidP="00C206AF">
            <w:pPr>
              <w:pStyle w:val="NormalWeb"/>
              <w:bidi/>
              <w:rPr>
                <w:rFonts w:cs="B Mitra"/>
                <w:sz w:val="26"/>
                <w:szCs w:val="26"/>
              </w:rPr>
            </w:pPr>
            <w:r w:rsidRPr="00C206AF">
              <w:rPr>
                <w:rFonts w:cs="B Mitra" w:hint="cs"/>
                <w:sz w:val="26"/>
                <w:szCs w:val="26"/>
                <w:rtl/>
              </w:rPr>
              <w:t>000/000/9</w:t>
            </w:r>
          </w:p>
        </w:tc>
      </w:tr>
      <w:tr w:rsidR="00572DBB" w:rsidRPr="00C206AF" w:rsidTr="00C206AF">
        <w:tc>
          <w:tcPr>
            <w:tcW w:w="3545" w:type="dxa"/>
          </w:tcPr>
          <w:p w:rsidR="00572DBB" w:rsidRPr="00C206AF" w:rsidRDefault="00572DBB" w:rsidP="00C206AF">
            <w:pPr>
              <w:pStyle w:val="NormalWeb"/>
              <w:bidi/>
              <w:rPr>
                <w:rFonts w:cs="B Mitra"/>
                <w:sz w:val="26"/>
                <w:szCs w:val="26"/>
                <w:rtl/>
              </w:rPr>
            </w:pPr>
            <w:r w:rsidRPr="00C206AF">
              <w:rPr>
                <w:rFonts w:cs="B Mitra" w:hint="cs"/>
                <w:sz w:val="26"/>
                <w:szCs w:val="26"/>
                <w:rtl/>
              </w:rPr>
              <w:t>شیراز، لار، فسا، گراش، استهبان</w:t>
            </w:r>
          </w:p>
        </w:tc>
        <w:tc>
          <w:tcPr>
            <w:tcW w:w="2410" w:type="dxa"/>
          </w:tcPr>
          <w:p w:rsidR="00572DBB" w:rsidRPr="00C206AF" w:rsidRDefault="00266B26" w:rsidP="00C206AF">
            <w:pPr>
              <w:pStyle w:val="NormalWeb"/>
              <w:bidi/>
              <w:rPr>
                <w:rFonts w:cs="B Mitra"/>
                <w:sz w:val="26"/>
                <w:szCs w:val="26"/>
                <w:rtl/>
              </w:rPr>
            </w:pPr>
            <w:r w:rsidRPr="00C206AF">
              <w:rPr>
                <w:rFonts w:cs="B Mitra" w:hint="cs"/>
                <w:sz w:val="26"/>
                <w:szCs w:val="26"/>
                <w:rtl/>
              </w:rPr>
              <w:t>000/000/4</w:t>
            </w:r>
          </w:p>
        </w:tc>
      </w:tr>
    </w:tbl>
    <w:p w:rsidR="00A36B08" w:rsidRPr="00C206AF" w:rsidRDefault="00A36B08" w:rsidP="00C206AF">
      <w:pPr>
        <w:pStyle w:val="NormalWeb"/>
        <w:bidi/>
        <w:rPr>
          <w:rFonts w:cs="B Mitra"/>
          <w:sz w:val="26"/>
          <w:szCs w:val="26"/>
          <w:rtl/>
        </w:rPr>
      </w:pPr>
    </w:p>
    <w:p w:rsidR="00A36B08" w:rsidRDefault="00A36B08" w:rsidP="0033146B">
      <w:pPr>
        <w:ind w:left="720" w:hanging="720"/>
        <w:rPr>
          <w:rFonts w:cs="B Titr"/>
          <w:color w:val="C00000"/>
          <w:sz w:val="30"/>
          <w:szCs w:val="30"/>
          <w:rtl/>
        </w:rPr>
      </w:pPr>
    </w:p>
    <w:p w:rsidR="00A36B08" w:rsidRDefault="00A36B08" w:rsidP="0033146B">
      <w:pPr>
        <w:ind w:left="720" w:hanging="720"/>
        <w:rPr>
          <w:rFonts w:cs="B Titr"/>
          <w:color w:val="C00000"/>
          <w:sz w:val="30"/>
          <w:szCs w:val="30"/>
          <w:rtl/>
        </w:rPr>
      </w:pPr>
    </w:p>
    <w:p w:rsidR="00A36B08" w:rsidRDefault="00A36B08" w:rsidP="0033146B">
      <w:pPr>
        <w:ind w:left="720" w:hanging="720"/>
        <w:rPr>
          <w:rFonts w:cs="B Titr"/>
          <w:color w:val="C00000"/>
          <w:sz w:val="30"/>
          <w:szCs w:val="30"/>
          <w:rtl/>
        </w:rPr>
      </w:pPr>
    </w:p>
    <w:p w:rsidR="00484C7A" w:rsidRDefault="00484C7A" w:rsidP="0033146B">
      <w:pPr>
        <w:ind w:left="720" w:hanging="720"/>
        <w:rPr>
          <w:rFonts w:cs="B Titr"/>
          <w:color w:val="C00000"/>
          <w:sz w:val="30"/>
          <w:szCs w:val="30"/>
          <w:rtl/>
        </w:rPr>
      </w:pPr>
    </w:p>
    <w:p w:rsidR="0080322D" w:rsidRDefault="0080322D" w:rsidP="0033146B">
      <w:pPr>
        <w:ind w:left="720" w:hanging="720"/>
        <w:rPr>
          <w:rFonts w:cs="B Titr"/>
          <w:color w:val="C00000"/>
          <w:sz w:val="30"/>
          <w:szCs w:val="30"/>
          <w:rtl/>
        </w:rPr>
      </w:pPr>
    </w:p>
    <w:p w:rsidR="00C206AF" w:rsidRDefault="00C206AF" w:rsidP="0033146B">
      <w:pPr>
        <w:ind w:left="720" w:hanging="720"/>
        <w:rPr>
          <w:rFonts w:cs="B Titr"/>
          <w:color w:val="C00000"/>
          <w:sz w:val="30"/>
          <w:szCs w:val="30"/>
          <w:rtl/>
        </w:rPr>
      </w:pPr>
    </w:p>
    <w:p w:rsidR="008F530E" w:rsidRPr="00077EA8" w:rsidRDefault="008F530E" w:rsidP="008F530E">
      <w:pPr>
        <w:ind w:left="720" w:hanging="720"/>
        <w:jc w:val="center"/>
        <w:rPr>
          <w:rFonts w:cs="B Titr"/>
          <w:color w:val="C00000"/>
          <w:sz w:val="30"/>
          <w:szCs w:val="30"/>
          <w:rtl/>
        </w:rPr>
      </w:pPr>
      <w:r w:rsidRPr="00077EA8">
        <w:rPr>
          <w:rFonts w:cs="B Titr" w:hint="cs"/>
          <w:color w:val="C00000"/>
          <w:sz w:val="30"/>
          <w:szCs w:val="30"/>
          <w:rtl/>
        </w:rPr>
        <w:lastRenderedPageBreak/>
        <w:t>آئین نامه</w:t>
      </w:r>
      <w:r>
        <w:rPr>
          <w:rFonts w:cs="B Titr" w:hint="cs"/>
          <w:color w:val="C00000"/>
          <w:sz w:val="30"/>
          <w:szCs w:val="30"/>
          <w:rtl/>
        </w:rPr>
        <w:t xml:space="preserve"> شرکت در همایش های </w:t>
      </w:r>
      <w:r w:rsidRPr="005D0C53">
        <w:rPr>
          <w:rFonts w:cs="B Titr" w:hint="cs"/>
          <w:color w:val="C00000"/>
          <w:sz w:val="30"/>
          <w:szCs w:val="30"/>
          <w:rtl/>
        </w:rPr>
        <w:t>خارجي و پرداخت هزينه ها :</w:t>
      </w:r>
    </w:p>
    <w:p w:rsidR="00332F78" w:rsidRPr="00B473BE" w:rsidRDefault="00332F78" w:rsidP="00B473BE">
      <w:pPr>
        <w:ind w:left="720" w:hanging="720"/>
        <w:rPr>
          <w:rFonts w:cs="B Titr"/>
          <w:color w:val="C00000"/>
          <w:sz w:val="30"/>
          <w:szCs w:val="30"/>
          <w:rtl/>
        </w:rPr>
      </w:pPr>
      <w:r w:rsidRPr="00B473BE">
        <w:rPr>
          <w:rFonts w:cs="B Titr" w:hint="cs"/>
          <w:color w:val="C00000"/>
          <w:sz w:val="30"/>
          <w:szCs w:val="30"/>
          <w:rtl/>
        </w:rPr>
        <w:t>مقدمه:</w:t>
      </w:r>
    </w:p>
    <w:p w:rsidR="00332F78" w:rsidRPr="00C206AF" w:rsidRDefault="00332F78" w:rsidP="00B473BE">
      <w:pPr>
        <w:pStyle w:val="NormalWeb"/>
        <w:bidi/>
        <w:rPr>
          <w:rFonts w:cs="B Mitra"/>
          <w:sz w:val="26"/>
          <w:szCs w:val="26"/>
          <w:rtl/>
        </w:rPr>
      </w:pPr>
      <w:r w:rsidRPr="00C206AF">
        <w:rPr>
          <w:rFonts w:cs="B Mitra"/>
          <w:sz w:val="30"/>
          <w:szCs w:val="30"/>
          <w:rtl/>
        </w:rPr>
        <w:t>به منظور گسترش تبادلات علمی و افزایش توان پژوهشی و آموزشی اعضای هیات علمی</w:t>
      </w:r>
      <w:r w:rsidR="00B473BE" w:rsidRPr="00C206AF">
        <w:rPr>
          <w:rFonts w:cs="B Mitra" w:hint="cs"/>
          <w:sz w:val="30"/>
          <w:szCs w:val="30"/>
          <w:rtl/>
        </w:rPr>
        <w:t>، محققین دانشگاهها، دانشکده ها و مراکز تحقیقاتی علوم پزشکی کشور</w:t>
      </w:r>
      <w:r w:rsidRPr="00C206AF">
        <w:rPr>
          <w:rFonts w:cs="B Mitra" w:hint="cs"/>
          <w:sz w:val="30"/>
          <w:szCs w:val="30"/>
          <w:rtl/>
        </w:rPr>
        <w:t xml:space="preserve"> </w:t>
      </w:r>
      <w:r w:rsidR="00B473BE" w:rsidRPr="00C206AF">
        <w:rPr>
          <w:rFonts w:cs="B Mitra" w:hint="cs"/>
          <w:sz w:val="30"/>
          <w:szCs w:val="30"/>
          <w:rtl/>
        </w:rPr>
        <w:t xml:space="preserve"> و همچنین سازمانهای وابسته به وزارت بهداشت، درمان و آموزش پزشکی  (که در این آیین نامه دانشگاه نامیده می شود) </w:t>
      </w:r>
      <w:r w:rsidRPr="00C206AF">
        <w:rPr>
          <w:rFonts w:cs="B Mitra"/>
          <w:sz w:val="30"/>
          <w:szCs w:val="30"/>
          <w:rtl/>
        </w:rPr>
        <w:t>متقاضیان واجد شرایط این دستورالعمل می توانند با استفاده از تسهیلات مقرر در همایشها</w:t>
      </w:r>
      <w:r w:rsidRPr="00C206AF">
        <w:rPr>
          <w:rFonts w:cs="B Mitra" w:hint="cs"/>
          <w:sz w:val="30"/>
          <w:szCs w:val="30"/>
          <w:rtl/>
        </w:rPr>
        <w:t xml:space="preserve">ی </w:t>
      </w:r>
      <w:r w:rsidR="00B473BE" w:rsidRPr="00C206AF">
        <w:rPr>
          <w:rFonts w:cs="B Mitra" w:hint="cs"/>
          <w:sz w:val="30"/>
          <w:szCs w:val="30"/>
          <w:rtl/>
        </w:rPr>
        <w:t>بین المللی</w:t>
      </w:r>
      <w:r w:rsidRPr="00C206AF">
        <w:rPr>
          <w:rFonts w:cs="B Mitra" w:hint="cs"/>
          <w:sz w:val="30"/>
          <w:szCs w:val="30"/>
          <w:rtl/>
        </w:rPr>
        <w:t xml:space="preserve"> </w:t>
      </w:r>
      <w:r w:rsidRPr="00C206AF">
        <w:rPr>
          <w:rFonts w:cs="B Mitra"/>
          <w:sz w:val="30"/>
          <w:szCs w:val="30"/>
          <w:rtl/>
        </w:rPr>
        <w:t>شرکت نمایند</w:t>
      </w:r>
      <w:r w:rsidRPr="00C206AF">
        <w:rPr>
          <w:rFonts w:cs="B Mitra"/>
          <w:sz w:val="26"/>
          <w:szCs w:val="26"/>
        </w:rPr>
        <w:t>.</w:t>
      </w:r>
    </w:p>
    <w:p w:rsidR="00B473BE" w:rsidRPr="00C206AF" w:rsidRDefault="00B473BE" w:rsidP="00B473BE">
      <w:pPr>
        <w:rPr>
          <w:rFonts w:ascii="Times New Roman" w:eastAsia="Times New Roman" w:hAnsi="Times New Roman" w:cs="B Mitra"/>
          <w:sz w:val="26"/>
          <w:szCs w:val="26"/>
          <w:rtl/>
        </w:rPr>
      </w:pPr>
      <w:r w:rsidRPr="007207DC">
        <w:rPr>
          <w:rFonts w:cs="B Titr" w:hint="cs"/>
          <w:color w:val="C00000"/>
          <w:sz w:val="30"/>
          <w:szCs w:val="30"/>
          <w:rtl/>
        </w:rPr>
        <w:t>ماده1</w:t>
      </w:r>
      <w:r>
        <w:rPr>
          <w:rFonts w:cs="B Zar" w:hint="cs"/>
          <w:sz w:val="28"/>
          <w:szCs w:val="28"/>
          <w:rtl/>
        </w:rPr>
        <w:t xml:space="preserve">: </w:t>
      </w:r>
      <w:r w:rsidRPr="00C206AF">
        <w:rPr>
          <w:rFonts w:ascii="Times New Roman" w:eastAsia="Times New Roman" w:hAnsi="Times New Roman" w:cs="B Mitra" w:hint="cs"/>
          <w:sz w:val="26"/>
          <w:szCs w:val="26"/>
          <w:rtl/>
        </w:rPr>
        <w:t>اعضاء هیات علمی رسمی، پیمانی، شاغل و بازنشسته دانشگاه، محققین غیر هیات علمی شاغل در ستاد مرکزی وزارت بهداشت، درمان و آموزش پزشکی و نیز دانشگاه ها و دانشکده های علوم پزشکی و خدمات بهداشتی درمانی و سایر سازمانهای وابسته به وزارت متبوع، دانشجویان دوره دکتری تخصصی(</w:t>
      </w:r>
      <w:proofErr w:type="spellStart"/>
      <w:r w:rsidRPr="00C206AF">
        <w:rPr>
          <w:rFonts w:ascii="Times New Roman" w:eastAsia="Times New Roman" w:hAnsi="Times New Roman" w:cs="B Mitra"/>
          <w:sz w:val="26"/>
          <w:szCs w:val="26"/>
        </w:rPr>
        <w:t>Ph.D</w:t>
      </w:r>
      <w:proofErr w:type="spellEnd"/>
      <w:r w:rsidRPr="00C206AF">
        <w:rPr>
          <w:rFonts w:ascii="Times New Roman" w:eastAsia="Times New Roman" w:hAnsi="Times New Roman" w:cs="B Mitra" w:hint="cs"/>
          <w:sz w:val="26"/>
          <w:szCs w:val="26"/>
          <w:rtl/>
        </w:rPr>
        <w:t>) و دستیاران تخصصی و فوق تخصصی و نیز دانشجویان فعال کمیته های پژوهشی دانشجویی(به تشخیص شورای پژوهشی دانشگاه) در صورت احراز شرایط مربوطه، وجود اعتبار و با رعایت مقررات مندرج در این آیین نامه می توانند در همایش های علمی خارج از کشور شرکت نمایند.</w:t>
      </w:r>
    </w:p>
    <w:p w:rsidR="007207DC" w:rsidRPr="0080322D" w:rsidRDefault="00B473BE" w:rsidP="007207DC">
      <w:pPr>
        <w:rPr>
          <w:rFonts w:cs="B Titr"/>
          <w:color w:val="C00000"/>
          <w:sz w:val="28"/>
          <w:szCs w:val="28"/>
          <w:rtl/>
        </w:rPr>
      </w:pPr>
      <w:r w:rsidRPr="0080322D">
        <w:rPr>
          <w:rFonts w:cs="B Titr" w:hint="cs"/>
          <w:color w:val="C00000"/>
          <w:sz w:val="28"/>
          <w:szCs w:val="28"/>
          <w:rtl/>
        </w:rPr>
        <w:t>ماده</w:t>
      </w:r>
      <w:r w:rsidR="007207DC" w:rsidRPr="0080322D">
        <w:rPr>
          <w:rFonts w:cs="B Titr" w:hint="cs"/>
          <w:color w:val="C00000"/>
          <w:sz w:val="28"/>
          <w:szCs w:val="28"/>
          <w:rtl/>
        </w:rPr>
        <w:t>2</w:t>
      </w:r>
      <w:r w:rsidR="007207DC" w:rsidRPr="0080322D">
        <w:rPr>
          <w:rFonts w:cs="B Titr"/>
          <w:color w:val="C00000"/>
          <w:sz w:val="28"/>
          <w:szCs w:val="28"/>
        </w:rPr>
        <w:t>-</w:t>
      </w:r>
      <w:r w:rsidR="007207DC" w:rsidRPr="0080322D">
        <w:rPr>
          <w:rFonts w:cs="B Titr" w:hint="cs"/>
          <w:color w:val="C00000"/>
          <w:sz w:val="28"/>
          <w:szCs w:val="28"/>
          <w:rtl/>
        </w:rPr>
        <w:t>شرایط و چگونگی شرکت در همایش:</w:t>
      </w:r>
      <w:r w:rsidR="007207DC" w:rsidRPr="0080322D">
        <w:rPr>
          <w:rFonts w:cs="B Titr"/>
          <w:color w:val="C00000"/>
          <w:sz w:val="28"/>
          <w:szCs w:val="28"/>
        </w:rPr>
        <w:t xml:space="preserve"> </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 xml:space="preserve"> پذیرش چكيده مقاله توسط همایش</w:t>
      </w:r>
    </w:p>
    <w:p w:rsidR="007207DC" w:rsidRPr="00C206AF" w:rsidRDefault="00494D5A" w:rsidP="0063757F">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ارائه در خواست جهت شركت در همايش</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63757F" w:rsidRPr="00C206AF">
        <w:rPr>
          <w:rFonts w:ascii="Times New Roman" w:eastAsia="Times New Roman" w:hAnsi="Times New Roman" w:cs="B Mitra" w:hint="cs"/>
          <w:sz w:val="26"/>
          <w:szCs w:val="26"/>
          <w:rtl/>
        </w:rPr>
        <w:t xml:space="preserve"> </w:t>
      </w:r>
      <w:r w:rsidR="007207DC" w:rsidRPr="00C206AF">
        <w:rPr>
          <w:rFonts w:ascii="Times New Roman" w:eastAsia="Times New Roman" w:hAnsi="Times New Roman" w:cs="B Mitra" w:hint="cs"/>
          <w:sz w:val="26"/>
          <w:szCs w:val="26"/>
          <w:rtl/>
        </w:rPr>
        <w:t>دریافت فرم شرکت در کنگره با موافقت مدیر گروه/  رییس دانشکده پزشکی یا پیراپزشکی /  معاون یا مدیرپژوهشي دانشگاه / مدیر حراست</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63757F" w:rsidRPr="00C206AF">
        <w:rPr>
          <w:rFonts w:ascii="Times New Roman" w:eastAsia="Times New Roman" w:hAnsi="Times New Roman" w:cs="B Mitra" w:hint="cs"/>
          <w:sz w:val="26"/>
          <w:szCs w:val="26"/>
          <w:rtl/>
        </w:rPr>
        <w:t xml:space="preserve"> </w:t>
      </w:r>
      <w:r w:rsidR="007207DC" w:rsidRPr="00C206AF">
        <w:rPr>
          <w:rFonts w:ascii="Times New Roman" w:eastAsia="Times New Roman" w:hAnsi="Times New Roman" w:cs="B Mitra" w:hint="cs"/>
          <w:sz w:val="26"/>
          <w:szCs w:val="26"/>
          <w:rtl/>
        </w:rPr>
        <w:t>معرفی به اداره خدمات آموزشی جهت محاسبه تعهدات و اعلام به واحد حقوقی</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اخذ ضمانت نامه بانکی و تعهد محضری توسط واحد حقوقی و اعلام به  خدمات آموزشی</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 xml:space="preserve"> صدور گواهی اشتغال به تحصیل (از اداره خدمات آموزشی)</w:t>
      </w:r>
      <w:r w:rsidR="0063757F" w:rsidRPr="00C206AF">
        <w:rPr>
          <w:rFonts w:ascii="Times New Roman" w:eastAsia="Times New Roman" w:hAnsi="Times New Roman" w:cs="B Mitra" w:hint="cs"/>
          <w:sz w:val="26"/>
          <w:szCs w:val="26"/>
          <w:rtl/>
        </w:rPr>
        <w:t xml:space="preserve"> (مربوط به شرکت دانشجویان)</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معرفی دانشجو به وزارت بهداشت جهت اخذ ويزا از طرف واحد پژوهشي</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 xml:space="preserve"> معرفی دانشجوی پسر  به نیروی انتظامی توسط اداره خدمات آموزشی</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494D5A">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درخواست علی الحساب</w:t>
      </w:r>
      <w:r w:rsidR="0063757F" w:rsidRPr="00C206AF">
        <w:rPr>
          <w:rFonts w:ascii="Times New Roman" w:eastAsia="Times New Roman" w:hAnsi="Times New Roman" w:cs="B Mitra" w:hint="cs"/>
          <w:sz w:val="26"/>
          <w:szCs w:val="26"/>
          <w:rtl/>
        </w:rPr>
        <w:t xml:space="preserve"> </w:t>
      </w:r>
    </w:p>
    <w:p w:rsidR="007207DC" w:rsidRPr="00C206AF" w:rsidRDefault="00494D5A" w:rsidP="0063757F">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 xml:space="preserve"> شركت در كنگره  </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ارائه مستندات جهت دريافت هزينه كنگره</w:t>
      </w:r>
    </w:p>
    <w:p w:rsidR="007207DC" w:rsidRPr="00C206AF" w:rsidRDefault="00494D5A" w:rsidP="00494D5A">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lastRenderedPageBreak/>
        <w:t>*</w:t>
      </w:r>
      <w:r w:rsidR="007207DC" w:rsidRPr="00C206AF">
        <w:rPr>
          <w:rFonts w:ascii="Times New Roman" w:eastAsia="Times New Roman" w:hAnsi="Times New Roman" w:cs="B Mitra" w:hint="cs"/>
          <w:sz w:val="26"/>
          <w:szCs w:val="26"/>
          <w:rtl/>
        </w:rPr>
        <w:t>اعلام و بازگشت از کنگره به واحد خدمات آموزشی / مدير حراست</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مکاتبه با واحد حقوقی جهت فک ضمانت نامه و تعهد محضری از اداره خدمات آموزشی</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مکاتبه واحد حقوقی با بانک و محضر و رونوشت به اداره خدمات آموزشی جهت فک ضمانت و تعهد</w:t>
      </w:r>
      <w:r w:rsidR="0063757F" w:rsidRPr="00C206AF">
        <w:rPr>
          <w:rFonts w:ascii="Times New Roman" w:eastAsia="Times New Roman" w:hAnsi="Times New Roman" w:cs="B Mitra" w:hint="cs"/>
          <w:sz w:val="26"/>
          <w:szCs w:val="26"/>
          <w:rtl/>
        </w:rPr>
        <w:t>(مربوط به شرکت دانشجویان)</w:t>
      </w:r>
    </w:p>
    <w:p w:rsidR="007207DC" w:rsidRPr="00C206AF" w:rsidRDefault="00494D5A" w:rsidP="007207DC">
      <w:pPr>
        <w:rPr>
          <w:rFonts w:ascii="Times New Roman" w:eastAsia="Times New Roman" w:hAnsi="Times New Roman" w:cs="B Mitra"/>
          <w:sz w:val="26"/>
          <w:szCs w:val="26"/>
        </w:rPr>
      </w:pPr>
      <w:r w:rsidRPr="00C206AF">
        <w:rPr>
          <w:rFonts w:ascii="Times New Roman" w:eastAsia="Times New Roman" w:hAnsi="Times New Roman" w:cs="B Mitra" w:hint="cs"/>
          <w:sz w:val="26"/>
          <w:szCs w:val="26"/>
          <w:rtl/>
        </w:rPr>
        <w:t>*</w:t>
      </w:r>
      <w:r w:rsidR="007207DC" w:rsidRPr="00C206AF">
        <w:rPr>
          <w:rFonts w:ascii="Times New Roman" w:eastAsia="Times New Roman" w:hAnsi="Times New Roman" w:cs="B Mitra" w:hint="cs"/>
          <w:sz w:val="26"/>
          <w:szCs w:val="26"/>
          <w:rtl/>
        </w:rPr>
        <w:t>اخذ رسید از دانشجو در قبال تحویل تعهد محضری و ضمانت نامه بانکی</w:t>
      </w:r>
      <w:r w:rsidR="0063757F" w:rsidRPr="00C206AF">
        <w:rPr>
          <w:rFonts w:ascii="Times New Roman" w:eastAsia="Times New Roman" w:hAnsi="Times New Roman" w:cs="B Mitra" w:hint="cs"/>
          <w:sz w:val="26"/>
          <w:szCs w:val="26"/>
          <w:rtl/>
        </w:rPr>
        <w:t>(مربوط به شرکت دانشجویان)</w:t>
      </w:r>
    </w:p>
    <w:p w:rsidR="00B473BE" w:rsidRPr="00C206AF" w:rsidRDefault="00494D5A" w:rsidP="007207DC">
      <w:pPr>
        <w:rPr>
          <w:rFonts w:ascii="Times New Roman" w:eastAsia="Times New Roman" w:hAnsi="Times New Roman" w:cs="B Mitra"/>
          <w:sz w:val="26"/>
          <w:szCs w:val="26"/>
          <w:rtl/>
        </w:rPr>
      </w:pPr>
      <w:r w:rsidRPr="00C206AF">
        <w:rPr>
          <w:rFonts w:ascii="Times New Roman" w:eastAsia="Times New Roman" w:hAnsi="Times New Roman" w:cs="B Mitra" w:hint="cs"/>
          <w:b/>
          <w:bCs/>
          <w:sz w:val="26"/>
          <w:szCs w:val="26"/>
          <w:rtl/>
        </w:rPr>
        <w:t>تبصره1:</w:t>
      </w:r>
      <w:r w:rsidRPr="00C206AF">
        <w:rPr>
          <w:rFonts w:ascii="Times New Roman" w:eastAsia="Times New Roman" w:hAnsi="Times New Roman" w:cs="B Mitra" w:hint="cs"/>
          <w:sz w:val="26"/>
          <w:szCs w:val="26"/>
          <w:rtl/>
        </w:rPr>
        <w:t xml:space="preserve"> </w:t>
      </w:r>
      <w:r w:rsidR="00B473BE" w:rsidRPr="00C206AF">
        <w:rPr>
          <w:rFonts w:ascii="Times New Roman" w:eastAsia="Times New Roman" w:hAnsi="Times New Roman" w:cs="B Mitra" w:hint="cs"/>
          <w:sz w:val="26"/>
          <w:szCs w:val="26"/>
          <w:rtl/>
        </w:rPr>
        <w:t xml:space="preserve"> در مورد اعضاء غیر هیات علمی دانشگاه ها و دانشکده های علوم پزشکی و خدمات بهداشتی درمانی و سایرمتخصصین در صورت احراز شرایط و وجود اعتبار از طریق معاونت تحقیقات و فناوری بر اساس مقررات اقدام می گردد.</w:t>
      </w:r>
    </w:p>
    <w:p w:rsidR="00B473BE" w:rsidRPr="0080322D" w:rsidRDefault="00B473BE" w:rsidP="00494D5A">
      <w:pPr>
        <w:rPr>
          <w:rFonts w:cs="B Titr"/>
          <w:color w:val="C00000"/>
          <w:sz w:val="28"/>
          <w:szCs w:val="28"/>
          <w:rtl/>
        </w:rPr>
      </w:pPr>
      <w:r w:rsidRPr="0080322D">
        <w:rPr>
          <w:rFonts w:cs="B Titr" w:hint="cs"/>
          <w:color w:val="C00000"/>
          <w:sz w:val="28"/>
          <w:szCs w:val="28"/>
          <w:rtl/>
        </w:rPr>
        <w:t xml:space="preserve">ماده </w:t>
      </w:r>
      <w:r w:rsidR="003D6022" w:rsidRPr="0080322D">
        <w:rPr>
          <w:rFonts w:cs="B Titr" w:hint="cs"/>
          <w:color w:val="C00000"/>
          <w:sz w:val="28"/>
          <w:szCs w:val="28"/>
          <w:rtl/>
        </w:rPr>
        <w:t xml:space="preserve">3: </w:t>
      </w:r>
      <w:r w:rsidRPr="0080322D">
        <w:rPr>
          <w:rFonts w:cs="B Titr" w:hint="cs"/>
          <w:color w:val="C00000"/>
          <w:sz w:val="28"/>
          <w:szCs w:val="28"/>
          <w:rtl/>
        </w:rPr>
        <w:t xml:space="preserve"> تعداد دفعات مجاز شرکت در همایش:</w:t>
      </w:r>
    </w:p>
    <w:p w:rsidR="00B473BE" w:rsidRPr="00C206AF" w:rsidRDefault="00B473BE" w:rsidP="00B473BE">
      <w:pPr>
        <w:rPr>
          <w:rFonts w:ascii="Times New Roman" w:eastAsia="Times New Roman" w:hAnsi="Times New Roman" w:cs="B Mitra"/>
          <w:sz w:val="26"/>
          <w:szCs w:val="26"/>
          <w:rtl/>
        </w:rPr>
      </w:pPr>
      <w:r>
        <w:rPr>
          <w:rFonts w:cs="B Zar" w:hint="cs"/>
          <w:sz w:val="28"/>
          <w:szCs w:val="28"/>
          <w:rtl/>
        </w:rPr>
        <w:t>1</w:t>
      </w:r>
      <w:r w:rsidRPr="00C206AF">
        <w:rPr>
          <w:rFonts w:ascii="Times New Roman" w:eastAsia="Times New Roman" w:hAnsi="Times New Roman" w:cs="B Mitra" w:hint="cs"/>
          <w:sz w:val="26"/>
          <w:szCs w:val="26"/>
          <w:rtl/>
        </w:rPr>
        <w:t xml:space="preserve">-3- اعضاء هيات علمي فقط 1 بار در سال </w:t>
      </w:r>
    </w:p>
    <w:p w:rsidR="00B473BE" w:rsidRPr="00C206AF" w:rsidRDefault="00B473BE" w:rsidP="00B473BE">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2-3- اعضاء هيات هاي ممتحنه و ارزشيابي(بورد) 2 بار در سال</w:t>
      </w:r>
    </w:p>
    <w:p w:rsidR="00B473BE" w:rsidRPr="00C206AF" w:rsidRDefault="00B473BE" w:rsidP="00B473BE">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3-3- اعضاء هیات علمی و محققینی که موفق به اخذ جشنواره رازی یا خوارزمی گردیده اند و نیز اساتید نمونه که هر ساله توسط وزارت متبوع انتخاب و معرفی می گردند، تا سه سال متوالی حداکثر دو بار در سال(با احتساب حق یک بار در سال شرکت در همایش های خارج از کشور با استفاده از امکانات ارزی اعضاء هیات علمی)</w:t>
      </w:r>
    </w:p>
    <w:p w:rsidR="00B473BE" w:rsidRPr="00C206AF" w:rsidRDefault="00B473BE" w:rsidP="00B473BE">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4-3-اعضاي هيئت علمي بازنشسته هر 2 سال 1بار</w:t>
      </w:r>
    </w:p>
    <w:p w:rsidR="00B473BE" w:rsidRPr="00C206AF" w:rsidRDefault="00B473BE" w:rsidP="00B473BE">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5-3-دانشجو 1 بار در طول دوران تحصيل و اعضاء غیر هیات علمی هر 3 سال 1 بار</w:t>
      </w:r>
    </w:p>
    <w:p w:rsidR="00B473BE" w:rsidRDefault="00B473BE" w:rsidP="00B473BE">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6-3-هر سال 1 نفر از دانشجويان  فعال كميته  پژوهشي دانشجويي هر دانشگاه(به تشخیص شورای پژوهشی دانشگاه) می تواند در همايش شرکت نماید.</w:t>
      </w:r>
    </w:p>
    <w:p w:rsidR="00C206AF" w:rsidRDefault="00C206AF" w:rsidP="00B473BE">
      <w:pPr>
        <w:rPr>
          <w:rFonts w:ascii="Times New Roman" w:eastAsia="Times New Roman" w:hAnsi="Times New Roman" w:cs="B Mitra"/>
          <w:sz w:val="26"/>
          <w:szCs w:val="26"/>
          <w:rtl/>
        </w:rPr>
      </w:pPr>
    </w:p>
    <w:p w:rsidR="00C206AF" w:rsidRDefault="00C206AF" w:rsidP="00B473BE">
      <w:pPr>
        <w:rPr>
          <w:rFonts w:ascii="Times New Roman" w:eastAsia="Times New Roman" w:hAnsi="Times New Roman" w:cs="B Mitra"/>
          <w:sz w:val="26"/>
          <w:szCs w:val="26"/>
          <w:rtl/>
        </w:rPr>
      </w:pPr>
    </w:p>
    <w:p w:rsidR="00C206AF" w:rsidRDefault="00C206AF" w:rsidP="00B473BE">
      <w:pPr>
        <w:rPr>
          <w:rFonts w:ascii="Times New Roman" w:eastAsia="Times New Roman" w:hAnsi="Times New Roman" w:cs="B Mitra"/>
          <w:sz w:val="26"/>
          <w:szCs w:val="26"/>
          <w:rtl/>
        </w:rPr>
      </w:pPr>
    </w:p>
    <w:p w:rsidR="00C206AF" w:rsidRDefault="00C206AF" w:rsidP="00B473BE">
      <w:pPr>
        <w:rPr>
          <w:rFonts w:ascii="Times New Roman" w:eastAsia="Times New Roman" w:hAnsi="Times New Roman" w:cs="B Mitra"/>
          <w:sz w:val="26"/>
          <w:szCs w:val="26"/>
          <w:rtl/>
        </w:rPr>
      </w:pPr>
    </w:p>
    <w:p w:rsidR="00C206AF" w:rsidRDefault="00C206AF" w:rsidP="00B473BE">
      <w:pPr>
        <w:rPr>
          <w:rFonts w:ascii="Times New Roman" w:eastAsia="Times New Roman" w:hAnsi="Times New Roman" w:cs="B Mitra"/>
          <w:sz w:val="26"/>
          <w:szCs w:val="26"/>
          <w:rtl/>
        </w:rPr>
      </w:pPr>
    </w:p>
    <w:p w:rsidR="00C206AF" w:rsidRPr="00C206AF" w:rsidRDefault="00C206AF" w:rsidP="00B473BE">
      <w:pPr>
        <w:rPr>
          <w:rFonts w:ascii="Times New Roman" w:eastAsia="Times New Roman" w:hAnsi="Times New Roman" w:cs="B Mitra"/>
          <w:sz w:val="26"/>
          <w:szCs w:val="26"/>
          <w:rtl/>
        </w:rPr>
      </w:pPr>
    </w:p>
    <w:p w:rsidR="00E50A94" w:rsidRDefault="003A2D2E" w:rsidP="00E50A94">
      <w:pPr>
        <w:rPr>
          <w:rFonts w:cs="B Zar"/>
          <w:sz w:val="28"/>
          <w:szCs w:val="28"/>
          <w:rtl/>
        </w:rPr>
      </w:pPr>
      <w:r w:rsidRPr="00E06BAD">
        <w:rPr>
          <w:rFonts w:cs="B Titr" w:hint="cs"/>
          <w:color w:val="C00000"/>
          <w:sz w:val="30"/>
          <w:szCs w:val="30"/>
          <w:rtl/>
        </w:rPr>
        <w:lastRenderedPageBreak/>
        <w:t>جدول شماره</w:t>
      </w:r>
      <w:r w:rsidR="00E50A94">
        <w:rPr>
          <w:rFonts w:cs="B Titr" w:hint="cs"/>
          <w:color w:val="C00000"/>
          <w:sz w:val="30"/>
          <w:szCs w:val="30"/>
          <w:rtl/>
        </w:rPr>
        <w:t>2</w:t>
      </w:r>
      <w:r w:rsidRPr="00E06BAD">
        <w:rPr>
          <w:rFonts w:cs="B Titr" w:hint="cs"/>
          <w:color w:val="C00000"/>
          <w:sz w:val="30"/>
          <w:szCs w:val="30"/>
          <w:rtl/>
        </w:rPr>
        <w:t xml:space="preserve">: </w:t>
      </w:r>
      <w:r w:rsidRPr="004B6E94">
        <w:rPr>
          <w:rFonts w:cs="B Titr"/>
          <w:color w:val="C00000"/>
          <w:sz w:val="30"/>
          <w:szCs w:val="30"/>
          <w:rtl/>
        </w:rPr>
        <w:t>پرداخت تسهیلات</w:t>
      </w:r>
      <w:r>
        <w:rPr>
          <w:rFonts w:cs="B Titr" w:hint="cs"/>
          <w:b/>
          <w:bCs/>
          <w:color w:val="C00000"/>
          <w:sz w:val="30"/>
          <w:szCs w:val="30"/>
          <w:rtl/>
        </w:rPr>
        <w:t xml:space="preserve"> جهت کنگره های </w:t>
      </w:r>
      <w:r w:rsidR="00E50A94">
        <w:rPr>
          <w:rFonts w:cs="B Titr" w:hint="cs"/>
          <w:b/>
          <w:bCs/>
          <w:color w:val="C00000"/>
          <w:sz w:val="30"/>
          <w:szCs w:val="30"/>
          <w:rtl/>
        </w:rPr>
        <w:t xml:space="preserve">خارجی </w:t>
      </w:r>
      <w:r>
        <w:rPr>
          <w:rFonts w:cs="B Titr" w:hint="cs"/>
          <w:b/>
          <w:bCs/>
          <w:color w:val="C00000"/>
          <w:sz w:val="30"/>
          <w:szCs w:val="30"/>
          <w:rtl/>
        </w:rPr>
        <w:t>:</w:t>
      </w:r>
    </w:p>
    <w:tbl>
      <w:tblPr>
        <w:tblStyle w:val="TableGrid"/>
        <w:tblpPr w:leftFromText="180" w:rightFromText="180" w:vertAnchor="page" w:horzAnchor="margin" w:tblpXSpec="center" w:tblpY="2836"/>
        <w:bidiVisual/>
        <w:tblW w:w="10206" w:type="dxa"/>
        <w:tblLayout w:type="fixed"/>
        <w:tblLook w:val="04A0" w:firstRow="1" w:lastRow="0" w:firstColumn="1" w:lastColumn="0" w:noHBand="0" w:noVBand="1"/>
      </w:tblPr>
      <w:tblGrid>
        <w:gridCol w:w="709"/>
        <w:gridCol w:w="2551"/>
        <w:gridCol w:w="2410"/>
        <w:gridCol w:w="2410"/>
        <w:gridCol w:w="2126"/>
      </w:tblGrid>
      <w:tr w:rsidR="00C206AF" w:rsidRPr="00472368" w:rsidTr="00DF17DC">
        <w:trPr>
          <w:trHeight w:val="1124"/>
        </w:trPr>
        <w:tc>
          <w:tcPr>
            <w:tcW w:w="709" w:type="dxa"/>
          </w:tcPr>
          <w:p w:rsidR="00C206AF" w:rsidRPr="00C206AF" w:rsidRDefault="00C206AF" w:rsidP="00DF17DC">
            <w:pPr>
              <w:pStyle w:val="ListParagraph"/>
              <w:ind w:left="0"/>
              <w:jc w:val="center"/>
              <w:rPr>
                <w:rFonts w:ascii="Times New Roman" w:eastAsia="Times New Roman" w:hAnsi="Times New Roman" w:cs="B Titr"/>
                <w:b/>
                <w:bCs/>
                <w:sz w:val="18"/>
                <w:szCs w:val="18"/>
                <w:rtl/>
              </w:rPr>
            </w:pPr>
            <w:r w:rsidRPr="00C206AF">
              <w:rPr>
                <w:rFonts w:ascii="Times New Roman" w:eastAsia="Times New Roman" w:hAnsi="Times New Roman" w:cs="B Titr" w:hint="cs"/>
                <w:b/>
                <w:bCs/>
                <w:sz w:val="18"/>
                <w:szCs w:val="18"/>
                <w:rtl/>
              </w:rPr>
              <w:t>*</w:t>
            </w:r>
          </w:p>
        </w:tc>
        <w:tc>
          <w:tcPr>
            <w:tcW w:w="2551" w:type="dxa"/>
          </w:tcPr>
          <w:p w:rsidR="00C206AF" w:rsidRPr="00C206AF" w:rsidRDefault="00C206AF" w:rsidP="00DF17DC">
            <w:pPr>
              <w:pStyle w:val="ListParagraph"/>
              <w:ind w:left="0"/>
              <w:jc w:val="center"/>
              <w:rPr>
                <w:rFonts w:ascii="Times New Roman" w:eastAsia="Times New Roman" w:hAnsi="Times New Roman" w:cs="B Titr"/>
                <w:b/>
                <w:bCs/>
                <w:sz w:val="18"/>
                <w:szCs w:val="18"/>
                <w:rtl/>
              </w:rPr>
            </w:pPr>
            <w:r w:rsidRPr="00C206AF">
              <w:rPr>
                <w:rFonts w:ascii="Times New Roman" w:eastAsia="Times New Roman" w:hAnsi="Times New Roman" w:cs="B Titr" w:hint="cs"/>
                <w:b/>
                <w:bCs/>
                <w:sz w:val="18"/>
                <w:szCs w:val="18"/>
                <w:rtl/>
              </w:rPr>
              <w:t>نام کشور</w:t>
            </w:r>
          </w:p>
        </w:tc>
        <w:tc>
          <w:tcPr>
            <w:tcW w:w="2410" w:type="dxa"/>
          </w:tcPr>
          <w:p w:rsidR="00C206AF" w:rsidRPr="00C206AF" w:rsidRDefault="00C206AF" w:rsidP="00DF17DC">
            <w:pPr>
              <w:pStyle w:val="ListParagraph"/>
              <w:bidi w:val="0"/>
              <w:jc w:val="center"/>
              <w:rPr>
                <w:rFonts w:ascii="Times New Roman" w:eastAsia="Times New Roman" w:hAnsi="Times New Roman" w:cs="B Titr"/>
                <w:b/>
                <w:bCs/>
                <w:sz w:val="18"/>
                <w:szCs w:val="18"/>
                <w:rtl/>
              </w:rPr>
            </w:pPr>
            <w:r w:rsidRPr="00C206AF">
              <w:rPr>
                <w:rFonts w:ascii="Times New Roman" w:eastAsia="Times New Roman" w:hAnsi="Times New Roman" w:cs="B Titr" w:hint="cs"/>
                <w:b/>
                <w:bCs/>
                <w:sz w:val="18"/>
                <w:szCs w:val="18"/>
                <w:rtl/>
              </w:rPr>
              <w:t>ارائه پوستر کمتر از 3 روز(میلیون ریال)</w:t>
            </w:r>
          </w:p>
        </w:tc>
        <w:tc>
          <w:tcPr>
            <w:tcW w:w="2410" w:type="dxa"/>
          </w:tcPr>
          <w:p w:rsidR="00C206AF" w:rsidRPr="00C206AF" w:rsidRDefault="00C206AF" w:rsidP="00DF17DC">
            <w:pPr>
              <w:pStyle w:val="ListParagraph"/>
              <w:bidi w:val="0"/>
              <w:jc w:val="center"/>
              <w:rPr>
                <w:rFonts w:ascii="Times New Roman" w:eastAsia="Times New Roman" w:hAnsi="Times New Roman" w:cs="B Titr"/>
                <w:b/>
                <w:bCs/>
                <w:sz w:val="18"/>
                <w:szCs w:val="18"/>
                <w:rtl/>
              </w:rPr>
            </w:pPr>
            <w:r w:rsidRPr="00C206AF">
              <w:rPr>
                <w:rFonts w:ascii="Times New Roman" w:eastAsia="Times New Roman" w:hAnsi="Times New Roman" w:cs="B Titr" w:hint="cs"/>
                <w:b/>
                <w:bCs/>
                <w:sz w:val="18"/>
                <w:szCs w:val="18"/>
                <w:rtl/>
              </w:rPr>
              <w:t>ارائه پوستر 3-4 روز(میلیون ریال)</w:t>
            </w:r>
          </w:p>
        </w:tc>
        <w:tc>
          <w:tcPr>
            <w:tcW w:w="2126" w:type="dxa"/>
          </w:tcPr>
          <w:p w:rsidR="00C206AF" w:rsidRPr="00C206AF" w:rsidRDefault="00C206AF" w:rsidP="00DF17DC">
            <w:pPr>
              <w:pStyle w:val="ListParagraph"/>
              <w:bidi w:val="0"/>
              <w:jc w:val="center"/>
              <w:rPr>
                <w:rFonts w:ascii="Times New Roman" w:eastAsia="Times New Roman" w:hAnsi="Times New Roman" w:cs="B Titr"/>
                <w:b/>
                <w:bCs/>
                <w:sz w:val="18"/>
                <w:szCs w:val="18"/>
                <w:rtl/>
              </w:rPr>
            </w:pPr>
            <w:r w:rsidRPr="00C206AF">
              <w:rPr>
                <w:rFonts w:ascii="Times New Roman" w:eastAsia="Times New Roman" w:hAnsi="Times New Roman" w:cs="B Titr" w:hint="cs"/>
                <w:b/>
                <w:bCs/>
                <w:sz w:val="18"/>
                <w:szCs w:val="18"/>
                <w:rtl/>
              </w:rPr>
              <w:t>ارائه پوستر بیشتر از 4 روز(میلیون ریال)</w:t>
            </w:r>
          </w:p>
        </w:tc>
      </w:tr>
      <w:tr w:rsidR="00C206AF" w:rsidRPr="00472368" w:rsidTr="00DF17DC">
        <w:trPr>
          <w:trHeight w:val="861"/>
        </w:trPr>
        <w:tc>
          <w:tcPr>
            <w:tcW w:w="709"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الف</w:t>
            </w:r>
          </w:p>
        </w:tc>
        <w:tc>
          <w:tcPr>
            <w:tcW w:w="2551"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کشورهای همسایه و حوزه خلیج فارس و هند</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000/000/40</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000/000/50</w:t>
            </w:r>
          </w:p>
        </w:tc>
        <w:tc>
          <w:tcPr>
            <w:tcW w:w="2126"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000/000/60</w:t>
            </w:r>
          </w:p>
        </w:tc>
      </w:tr>
      <w:tr w:rsidR="00C206AF" w:rsidRPr="00472368" w:rsidTr="00DF17DC">
        <w:trPr>
          <w:trHeight w:val="861"/>
        </w:trPr>
        <w:tc>
          <w:tcPr>
            <w:tcW w:w="709"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ب</w:t>
            </w:r>
          </w:p>
        </w:tc>
        <w:tc>
          <w:tcPr>
            <w:tcW w:w="2551"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کشورهای اروپایی، آسیای میانه، مالزی، تایلند و شمال آفریقا</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000/000/60</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000/000/70</w:t>
            </w:r>
          </w:p>
        </w:tc>
        <w:tc>
          <w:tcPr>
            <w:tcW w:w="2126"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000/000/80</w:t>
            </w:r>
          </w:p>
        </w:tc>
      </w:tr>
      <w:tr w:rsidR="00C206AF" w:rsidRPr="00472368" w:rsidTr="00DF17DC">
        <w:trPr>
          <w:trHeight w:val="1449"/>
        </w:trPr>
        <w:tc>
          <w:tcPr>
            <w:tcW w:w="709"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ج</w:t>
            </w:r>
          </w:p>
        </w:tc>
        <w:tc>
          <w:tcPr>
            <w:tcW w:w="2551"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کشورهای شرق دور شامل ژاپن،چین،تایوان و کشورهای شمال آمریکا</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000/000/80</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000/000/90</w:t>
            </w:r>
          </w:p>
          <w:p w:rsidR="00C206AF" w:rsidRPr="00C206AF" w:rsidRDefault="00C206AF" w:rsidP="00DF17DC">
            <w:pPr>
              <w:jc w:val="center"/>
              <w:rPr>
                <w:rFonts w:ascii="Times New Roman" w:eastAsia="Times New Roman" w:hAnsi="Times New Roman" w:cs="B Mitra"/>
                <w:sz w:val="26"/>
                <w:szCs w:val="26"/>
                <w:rtl/>
              </w:rPr>
            </w:pPr>
          </w:p>
        </w:tc>
        <w:tc>
          <w:tcPr>
            <w:tcW w:w="2126"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000/000/100</w:t>
            </w:r>
          </w:p>
        </w:tc>
      </w:tr>
      <w:tr w:rsidR="00C206AF" w:rsidRPr="00472368" w:rsidTr="00DF17DC">
        <w:trPr>
          <w:trHeight w:val="1134"/>
        </w:trPr>
        <w:tc>
          <w:tcPr>
            <w:tcW w:w="709"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د</w:t>
            </w:r>
          </w:p>
        </w:tc>
        <w:tc>
          <w:tcPr>
            <w:tcW w:w="2551" w:type="dxa"/>
          </w:tcPr>
          <w:p w:rsidR="00C206AF" w:rsidRPr="00C206AF" w:rsidRDefault="00C206AF" w:rsidP="00DF17DC">
            <w:pPr>
              <w:pStyle w:val="ListParagraph"/>
              <w:ind w:left="0"/>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کشورهای آمریکای جنوبی و آفریقای مرکزی و جنوبی و اقیانوسیه</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000/000/100</w:t>
            </w:r>
          </w:p>
        </w:tc>
        <w:tc>
          <w:tcPr>
            <w:tcW w:w="2410"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000/000/110</w:t>
            </w:r>
          </w:p>
        </w:tc>
        <w:tc>
          <w:tcPr>
            <w:tcW w:w="2126" w:type="dxa"/>
          </w:tcPr>
          <w:p w:rsidR="00C206AF" w:rsidRPr="00C206AF" w:rsidRDefault="00C206AF" w:rsidP="00DF17DC">
            <w:pPr>
              <w:pStyle w:val="ListParagraph"/>
              <w:ind w:left="0"/>
              <w:jc w:val="cente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000/000/120</w:t>
            </w:r>
          </w:p>
        </w:tc>
      </w:tr>
    </w:tbl>
    <w:p w:rsidR="00C206AF" w:rsidRDefault="00C206AF" w:rsidP="00E50A94">
      <w:pPr>
        <w:rPr>
          <w:rFonts w:cs="B Zar"/>
          <w:sz w:val="28"/>
          <w:szCs w:val="28"/>
          <w:rtl/>
        </w:rPr>
      </w:pPr>
      <w:r w:rsidRPr="007D5174">
        <w:rPr>
          <w:rFonts w:cs="B Titr" w:hint="cs"/>
          <w:color w:val="000000" w:themeColor="text1"/>
          <w:rtl/>
        </w:rPr>
        <w:t>تسهیلات مالی با سقف تعیین شده جهت ارائه کنندگان در کنگره های خارج از کشور (میلیون ریال)</w:t>
      </w:r>
    </w:p>
    <w:p w:rsidR="00472368" w:rsidRDefault="00472368" w:rsidP="00472368">
      <w:pPr>
        <w:rPr>
          <w:rtl/>
        </w:rPr>
      </w:pPr>
    </w:p>
    <w:p w:rsidR="00E50A94" w:rsidRPr="00F00403" w:rsidRDefault="008C7CB7" w:rsidP="00F00403">
      <w:pPr>
        <w:rPr>
          <w:rFonts w:ascii="Times New Roman" w:eastAsia="Times New Roman" w:hAnsi="Times New Roman" w:cs="B Titr"/>
          <w:b/>
          <w:bCs/>
          <w:sz w:val="18"/>
          <w:szCs w:val="18"/>
          <w:rtl/>
        </w:rPr>
      </w:pPr>
      <w:r w:rsidRPr="00F00403">
        <w:rPr>
          <w:rFonts w:ascii="Times New Roman" w:eastAsia="Times New Roman" w:hAnsi="Times New Roman" w:cs="B Titr" w:hint="cs"/>
          <w:b/>
          <w:bCs/>
          <w:sz w:val="20"/>
          <w:szCs w:val="20"/>
          <w:rtl/>
        </w:rPr>
        <w:t xml:space="preserve">* </w:t>
      </w:r>
      <w:r w:rsidR="00E50A94" w:rsidRPr="00F00403">
        <w:rPr>
          <w:rFonts w:ascii="Times New Roman" w:eastAsia="Times New Roman" w:hAnsi="Times New Roman" w:cs="B Titr" w:hint="cs"/>
          <w:b/>
          <w:bCs/>
          <w:sz w:val="20"/>
          <w:szCs w:val="20"/>
          <w:rtl/>
        </w:rPr>
        <w:t xml:space="preserve">مبلغ </w:t>
      </w:r>
      <w:r w:rsidR="00C022C1" w:rsidRPr="00F00403">
        <w:rPr>
          <w:rFonts w:ascii="Times New Roman" w:eastAsia="Times New Roman" w:hAnsi="Times New Roman" w:cs="B Titr" w:hint="cs"/>
          <w:b/>
          <w:bCs/>
          <w:sz w:val="20"/>
          <w:szCs w:val="20"/>
          <w:rtl/>
        </w:rPr>
        <w:t>%50</w:t>
      </w:r>
      <w:r w:rsidR="00E50A94" w:rsidRPr="00F00403">
        <w:rPr>
          <w:rFonts w:ascii="Times New Roman" w:eastAsia="Times New Roman" w:hAnsi="Times New Roman" w:cs="B Titr" w:hint="cs"/>
          <w:b/>
          <w:bCs/>
          <w:sz w:val="20"/>
          <w:szCs w:val="20"/>
          <w:rtl/>
        </w:rPr>
        <w:t xml:space="preserve"> </w:t>
      </w:r>
      <w:r w:rsidR="00C022C1" w:rsidRPr="00F00403">
        <w:rPr>
          <w:rFonts w:ascii="Times New Roman" w:eastAsia="Times New Roman" w:hAnsi="Times New Roman" w:cs="B Titr" w:hint="cs"/>
          <w:b/>
          <w:bCs/>
          <w:sz w:val="20"/>
          <w:szCs w:val="20"/>
          <w:rtl/>
        </w:rPr>
        <w:t>هزینه کنگره خارجی به</w:t>
      </w:r>
      <w:r w:rsidR="00E50A94" w:rsidRPr="00F00403">
        <w:rPr>
          <w:rFonts w:ascii="Times New Roman" w:eastAsia="Times New Roman" w:hAnsi="Times New Roman" w:cs="B Titr" w:hint="cs"/>
          <w:b/>
          <w:bCs/>
          <w:sz w:val="20"/>
          <w:szCs w:val="20"/>
          <w:rtl/>
        </w:rPr>
        <w:t xml:space="preserve"> صورت علی الحساب در صورت وجود اعتبار قبل از شرکت در کنگره </w:t>
      </w:r>
      <w:r w:rsidR="00C022C1" w:rsidRPr="00F00403">
        <w:rPr>
          <w:rFonts w:ascii="Times New Roman" w:eastAsia="Times New Roman" w:hAnsi="Times New Roman" w:cs="B Titr" w:hint="cs"/>
          <w:b/>
          <w:bCs/>
          <w:sz w:val="20"/>
          <w:szCs w:val="20"/>
          <w:rtl/>
        </w:rPr>
        <w:t>به فرد شرکت کننده پرداخت می گردد. (</w:t>
      </w:r>
      <w:r w:rsidR="00C022C1" w:rsidRPr="00F00403">
        <w:rPr>
          <w:rFonts w:cs="B Titr" w:hint="cs"/>
          <w:b/>
          <w:bCs/>
          <w:sz w:val="20"/>
          <w:szCs w:val="20"/>
          <w:rtl/>
        </w:rPr>
        <w:t>مصوبه شورای دانشگاه مورخ 17/04/98</w:t>
      </w:r>
      <w:r w:rsidR="00F00403" w:rsidRPr="00F00403">
        <w:rPr>
          <w:rFonts w:cs="B Titr" w:hint="cs"/>
          <w:b/>
          <w:bCs/>
          <w:sz w:val="20"/>
          <w:szCs w:val="20"/>
          <w:rtl/>
        </w:rPr>
        <w:t>)</w:t>
      </w:r>
    </w:p>
    <w:p w:rsidR="00E50A94" w:rsidRPr="00C206AF" w:rsidRDefault="008C7CB7" w:rsidP="008C7CB7">
      <w:pPr>
        <w:rPr>
          <w:rFonts w:ascii="Times New Roman" w:eastAsia="Times New Roman" w:hAnsi="Times New Roman" w:cs="B Mitra"/>
          <w:sz w:val="26"/>
          <w:szCs w:val="26"/>
        </w:rPr>
      </w:pPr>
      <w:r w:rsidRPr="00C206AF">
        <w:rPr>
          <w:rFonts w:ascii="Times New Roman" w:eastAsia="Times New Roman" w:hAnsi="Times New Roman" w:cs="B Mitra" w:hint="cs"/>
          <w:sz w:val="26"/>
          <w:szCs w:val="26"/>
          <w:rtl/>
        </w:rPr>
        <w:t>*</w:t>
      </w:r>
      <w:r w:rsidR="00E50A94" w:rsidRPr="00C206AF">
        <w:rPr>
          <w:rFonts w:ascii="Times New Roman" w:eastAsia="Times New Roman" w:hAnsi="Times New Roman" w:cs="B Mitra" w:hint="cs"/>
          <w:sz w:val="26"/>
          <w:szCs w:val="26"/>
          <w:rtl/>
        </w:rPr>
        <w:t xml:space="preserve">پرداخت مابقی هزینه ها مشروط به  </w:t>
      </w:r>
      <w:r w:rsidRPr="00C206AF">
        <w:rPr>
          <w:rFonts w:ascii="Times New Roman" w:eastAsia="Times New Roman" w:hAnsi="Times New Roman" w:cs="B Mitra" w:hint="cs"/>
          <w:sz w:val="26"/>
          <w:szCs w:val="26"/>
          <w:rtl/>
        </w:rPr>
        <w:t>چاپ مقاله(طبق جدول شماره 3) و کیفیت نمایه مجله</w:t>
      </w:r>
      <w:r w:rsidR="00E50A94" w:rsidRPr="00C206AF">
        <w:rPr>
          <w:rFonts w:ascii="Times New Roman" w:eastAsia="Times New Roman" w:hAnsi="Times New Roman" w:cs="B Mitra" w:hint="cs"/>
          <w:sz w:val="26"/>
          <w:szCs w:val="26"/>
          <w:rtl/>
        </w:rPr>
        <w:t xml:space="preserve"> در همان سال می باشد. و با توجه به نوع مقاله و نوع ایندکس، مطابق با آئین نامه ارزشیابی پژوهشی وزارت بهداشت محاسبه و پرداخت خواهد شد، مشروط به اینکه فرد شرکت کننده در همایش نویسنده اول یا نویسنده مسئول مقاله باشد.(لازم نیست مقاله ارائه شده حتما مربوط به همان خلاصه مقاله یا کنگره باشد.یعنی اگر مقاله ای غیر از خلاصه مقاله مذکور باشد نیز قابل قبول است . مقاله ممکن است در ابتدای سال چاپ شود ولی شخص بخواهد در پایان سال جهت شرکت در کنگره استفاده نماید نیز پذیرفته می شود.)</w:t>
      </w:r>
    </w:p>
    <w:p w:rsidR="00E50A94" w:rsidRPr="00C206AF" w:rsidRDefault="008C7CB7" w:rsidP="00C206AF">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w:t>
      </w:r>
      <w:r w:rsidR="00E50A94" w:rsidRPr="00C206AF">
        <w:rPr>
          <w:rFonts w:ascii="Times New Roman" w:eastAsia="Times New Roman" w:hAnsi="Times New Roman" w:cs="B Mitra" w:hint="cs"/>
          <w:sz w:val="26"/>
          <w:szCs w:val="26"/>
          <w:rtl/>
        </w:rPr>
        <w:t xml:space="preserve"> تاریخ چاپ مقاله می تواند یک سال قبل و یکسال بعد از شرکت در کنگره باشد.</w:t>
      </w:r>
    </w:p>
    <w:p w:rsidR="00E50A94" w:rsidRDefault="00E50A94" w:rsidP="00C206AF">
      <w:pPr>
        <w:rPr>
          <w:rFonts w:ascii="Times New Roman" w:eastAsia="Times New Roman" w:hAnsi="Times New Roman" w:cs="B Mitra"/>
          <w:sz w:val="26"/>
          <w:szCs w:val="26"/>
          <w:rtl/>
        </w:rPr>
      </w:pPr>
      <w:r w:rsidRPr="00C206AF">
        <w:rPr>
          <w:rFonts w:ascii="Times New Roman" w:eastAsia="Times New Roman" w:hAnsi="Times New Roman" w:cs="B Mitra" w:hint="cs"/>
          <w:sz w:val="26"/>
          <w:szCs w:val="26"/>
          <w:rtl/>
        </w:rPr>
        <w:t>* طبق مصوبه 9/5/91 دركنگره هاي خارجي و بين المللي داخلی در صورتيكه خلاصه مقاله در</w:t>
      </w:r>
      <w:r w:rsidRPr="00C206AF">
        <w:rPr>
          <w:rFonts w:ascii="Times New Roman" w:eastAsia="Times New Roman" w:hAnsi="Times New Roman" w:cs="B Mitra"/>
          <w:sz w:val="26"/>
          <w:szCs w:val="26"/>
        </w:rPr>
        <w:t xml:space="preserve"> ISI </w:t>
      </w:r>
      <w:r w:rsidRPr="00C206AF">
        <w:rPr>
          <w:rFonts w:ascii="Times New Roman" w:eastAsia="Times New Roman" w:hAnsi="Times New Roman" w:cs="B Mitra" w:hint="cs"/>
          <w:sz w:val="26"/>
          <w:szCs w:val="26"/>
          <w:rtl/>
        </w:rPr>
        <w:t xml:space="preserve">به صورت </w:t>
      </w:r>
      <w:r w:rsidRPr="00C206AF">
        <w:rPr>
          <w:rFonts w:ascii="Times New Roman" w:eastAsia="Times New Roman" w:hAnsi="Times New Roman" w:cs="B Mitra"/>
          <w:sz w:val="26"/>
          <w:szCs w:val="26"/>
        </w:rPr>
        <w:t xml:space="preserve"> proceeding </w:t>
      </w:r>
      <w:r w:rsidRPr="00C206AF">
        <w:rPr>
          <w:rFonts w:ascii="Times New Roman" w:eastAsia="Times New Roman" w:hAnsi="Times New Roman" w:cs="B Mitra" w:hint="cs"/>
          <w:sz w:val="26"/>
          <w:szCs w:val="26"/>
          <w:rtl/>
        </w:rPr>
        <w:t>يا</w:t>
      </w:r>
      <w:proofErr w:type="spellStart"/>
      <w:r w:rsidRPr="00C206AF">
        <w:rPr>
          <w:rFonts w:ascii="Times New Roman" w:eastAsia="Times New Roman" w:hAnsi="Times New Roman" w:cs="B Mitra"/>
          <w:sz w:val="26"/>
          <w:szCs w:val="26"/>
        </w:rPr>
        <w:t>absTract</w:t>
      </w:r>
      <w:proofErr w:type="spellEnd"/>
      <w:r w:rsidRPr="00C206AF">
        <w:rPr>
          <w:rFonts w:ascii="Times New Roman" w:eastAsia="Times New Roman" w:hAnsi="Times New Roman" w:cs="B Mitra"/>
          <w:sz w:val="26"/>
          <w:szCs w:val="26"/>
        </w:rPr>
        <w:t xml:space="preserve"> meeting </w:t>
      </w:r>
      <w:r w:rsidRPr="00C206AF">
        <w:rPr>
          <w:rFonts w:ascii="Times New Roman" w:eastAsia="Times New Roman" w:hAnsi="Times New Roman" w:cs="B Mitra" w:hint="cs"/>
          <w:sz w:val="26"/>
          <w:szCs w:val="26"/>
          <w:rtl/>
        </w:rPr>
        <w:t xml:space="preserve"> چاپ شود، تا يك مقاله همان هزينه هاي معمول پرداخت شود و بيش از آن به ازاي هر مقاله اضافه مبلغ 000/100 تومان پرداخت شود.</w:t>
      </w:r>
    </w:p>
    <w:p w:rsidR="00DF17DC" w:rsidRPr="00C206AF" w:rsidRDefault="00DF17DC" w:rsidP="00C206AF">
      <w:pPr>
        <w:rPr>
          <w:rFonts w:ascii="Times New Roman" w:eastAsia="Times New Roman" w:hAnsi="Times New Roman" w:cs="B Mitra"/>
          <w:sz w:val="26"/>
          <w:szCs w:val="26"/>
          <w:rtl/>
        </w:rPr>
      </w:pPr>
    </w:p>
    <w:tbl>
      <w:tblPr>
        <w:tblStyle w:val="TableGrid"/>
        <w:tblpPr w:leftFromText="180" w:rightFromText="180" w:vertAnchor="text" w:horzAnchor="margin" w:tblpXSpec="center" w:tblpY="631"/>
        <w:bidiVisual/>
        <w:tblW w:w="0" w:type="auto"/>
        <w:tblLook w:val="04A0" w:firstRow="1" w:lastRow="0" w:firstColumn="1" w:lastColumn="0" w:noHBand="0" w:noVBand="1"/>
      </w:tblPr>
      <w:tblGrid>
        <w:gridCol w:w="4308"/>
        <w:gridCol w:w="4288"/>
      </w:tblGrid>
      <w:tr w:rsidR="00C206AF" w:rsidRPr="00DF17DC" w:rsidTr="00C206AF">
        <w:tc>
          <w:tcPr>
            <w:tcW w:w="4308" w:type="dxa"/>
          </w:tcPr>
          <w:p w:rsidR="00C206AF" w:rsidRPr="00DF17DC" w:rsidRDefault="00C206AF" w:rsidP="00C206AF">
            <w:pPr>
              <w:spacing w:after="200" w:line="276" w:lineRule="auto"/>
              <w:rPr>
                <w:rFonts w:ascii="Times New Roman" w:eastAsia="Times New Roman" w:hAnsi="Times New Roman" w:cs="B Titr"/>
                <w:b/>
                <w:bCs/>
                <w:sz w:val="20"/>
                <w:szCs w:val="20"/>
                <w:rtl/>
              </w:rPr>
            </w:pPr>
            <w:r w:rsidRPr="00DF17DC">
              <w:rPr>
                <w:rFonts w:ascii="Times New Roman" w:eastAsia="Times New Roman" w:hAnsi="Times New Roman" w:cs="B Titr" w:hint="cs"/>
                <w:b/>
                <w:bCs/>
                <w:sz w:val="20"/>
                <w:szCs w:val="20"/>
                <w:rtl/>
              </w:rPr>
              <w:lastRenderedPageBreak/>
              <w:t>نوع مقاله</w:t>
            </w:r>
          </w:p>
        </w:tc>
        <w:tc>
          <w:tcPr>
            <w:tcW w:w="4288" w:type="dxa"/>
          </w:tcPr>
          <w:p w:rsidR="00C206AF" w:rsidRPr="00DF17DC" w:rsidRDefault="00C206AF" w:rsidP="00C206AF">
            <w:pPr>
              <w:spacing w:after="200" w:line="276" w:lineRule="auto"/>
              <w:rPr>
                <w:rFonts w:ascii="Times New Roman" w:eastAsia="Times New Roman" w:hAnsi="Times New Roman" w:cs="B Titr"/>
                <w:b/>
                <w:bCs/>
                <w:sz w:val="20"/>
                <w:szCs w:val="20"/>
                <w:rtl/>
              </w:rPr>
            </w:pPr>
            <w:r w:rsidRPr="00DF17DC">
              <w:rPr>
                <w:rFonts w:ascii="Times New Roman" w:eastAsia="Times New Roman" w:hAnsi="Times New Roman" w:cs="B Titr" w:hint="cs"/>
                <w:b/>
                <w:bCs/>
                <w:sz w:val="20"/>
                <w:szCs w:val="20"/>
                <w:rtl/>
              </w:rPr>
              <w:t>میزان هزینه پرداختی</w:t>
            </w:r>
          </w:p>
        </w:tc>
      </w:tr>
      <w:tr w:rsidR="00C206AF" w:rsidRPr="00DF17DC" w:rsidTr="00C206AF">
        <w:tc>
          <w:tcPr>
            <w:tcW w:w="4308" w:type="dxa"/>
          </w:tcPr>
          <w:p w:rsidR="00C206AF" w:rsidRPr="00DF17DC" w:rsidRDefault="00C206AF" w:rsidP="00C206AF">
            <w:pPr>
              <w:spacing w:after="200" w:line="276" w:lineRule="auto"/>
              <w:rPr>
                <w:rFonts w:ascii="Times New Roman" w:eastAsia="Times New Roman" w:hAnsi="Times New Roman" w:cs="B Mitra"/>
                <w:sz w:val="20"/>
                <w:szCs w:val="20"/>
                <w:rtl/>
              </w:rPr>
            </w:pPr>
            <w:r w:rsidRPr="00DF17DC">
              <w:rPr>
                <w:rFonts w:ascii="Times New Roman" w:eastAsia="Times New Roman" w:hAnsi="Times New Roman" w:cs="B Mitra"/>
                <w:sz w:val="20"/>
                <w:szCs w:val="20"/>
              </w:rPr>
              <w:t>ISI</w:t>
            </w:r>
            <w:r w:rsidRPr="00DF17DC">
              <w:rPr>
                <w:rFonts w:ascii="Times New Roman" w:eastAsia="Times New Roman" w:hAnsi="Times New Roman" w:cs="B Mitra" w:hint="cs"/>
                <w:sz w:val="20"/>
                <w:szCs w:val="20"/>
                <w:rtl/>
              </w:rPr>
              <w:t xml:space="preserve"> و </w:t>
            </w:r>
            <w:proofErr w:type="spellStart"/>
            <w:r w:rsidRPr="00DF17DC">
              <w:rPr>
                <w:rFonts w:ascii="Times New Roman" w:eastAsia="Times New Roman" w:hAnsi="Times New Roman" w:cs="B Mitra"/>
                <w:sz w:val="20"/>
                <w:szCs w:val="20"/>
              </w:rPr>
              <w:t>Pubmed</w:t>
            </w:r>
            <w:proofErr w:type="spellEnd"/>
          </w:p>
        </w:tc>
        <w:tc>
          <w:tcPr>
            <w:tcW w:w="4288" w:type="dxa"/>
          </w:tcPr>
          <w:p w:rsidR="00C206AF" w:rsidRPr="00DF17DC" w:rsidRDefault="00C206AF" w:rsidP="00C206AF">
            <w:pPr>
              <w:spacing w:after="200" w:line="276" w:lineRule="auto"/>
              <w:rPr>
                <w:rFonts w:ascii="Times New Roman" w:eastAsia="Times New Roman" w:hAnsi="Times New Roman" w:cs="B Mitra"/>
                <w:sz w:val="20"/>
                <w:szCs w:val="20"/>
                <w:rtl/>
              </w:rPr>
            </w:pPr>
            <w:r w:rsidRPr="00DF17DC">
              <w:rPr>
                <w:rFonts w:ascii="Times New Roman" w:eastAsia="Times New Roman" w:hAnsi="Times New Roman" w:cs="B Mitra" w:hint="cs"/>
                <w:sz w:val="20"/>
                <w:szCs w:val="20"/>
                <w:rtl/>
              </w:rPr>
              <w:t>100 % مابقی هزینه تا سقف جدول شماره2</w:t>
            </w:r>
          </w:p>
        </w:tc>
      </w:tr>
      <w:tr w:rsidR="00C206AF" w:rsidRPr="00DF17DC" w:rsidTr="00C206AF">
        <w:tc>
          <w:tcPr>
            <w:tcW w:w="4308" w:type="dxa"/>
          </w:tcPr>
          <w:p w:rsidR="00C206AF" w:rsidRPr="00DF17DC" w:rsidRDefault="00C206AF" w:rsidP="00C206AF">
            <w:pPr>
              <w:spacing w:after="200" w:line="276" w:lineRule="auto"/>
              <w:rPr>
                <w:rFonts w:ascii="Times New Roman" w:eastAsia="Times New Roman" w:hAnsi="Times New Roman" w:cs="B Mitra"/>
                <w:sz w:val="20"/>
                <w:szCs w:val="20"/>
              </w:rPr>
            </w:pPr>
            <w:proofErr w:type="spellStart"/>
            <w:r w:rsidRPr="00DF17DC">
              <w:rPr>
                <w:rFonts w:ascii="Times New Roman" w:eastAsia="Times New Roman" w:hAnsi="Times New Roman" w:cs="B Mitra"/>
                <w:sz w:val="20"/>
                <w:szCs w:val="20"/>
              </w:rPr>
              <w:t>scopus</w:t>
            </w:r>
            <w:proofErr w:type="spellEnd"/>
          </w:p>
        </w:tc>
        <w:tc>
          <w:tcPr>
            <w:tcW w:w="4288" w:type="dxa"/>
          </w:tcPr>
          <w:p w:rsidR="00C206AF" w:rsidRPr="00DF17DC" w:rsidRDefault="00C206AF" w:rsidP="00C206AF">
            <w:pPr>
              <w:spacing w:after="200" w:line="276" w:lineRule="auto"/>
              <w:rPr>
                <w:rFonts w:ascii="Times New Roman" w:eastAsia="Times New Roman" w:hAnsi="Times New Roman" w:cs="B Mitra"/>
                <w:sz w:val="20"/>
                <w:szCs w:val="20"/>
                <w:rtl/>
              </w:rPr>
            </w:pPr>
            <w:r w:rsidRPr="00DF17DC">
              <w:rPr>
                <w:rFonts w:ascii="Times New Roman" w:eastAsia="Times New Roman" w:hAnsi="Times New Roman" w:cs="B Mitra" w:hint="cs"/>
                <w:sz w:val="20"/>
                <w:szCs w:val="20"/>
                <w:rtl/>
              </w:rPr>
              <w:t>50 % مابقی هزینه تا سقف جدول شماره2</w:t>
            </w:r>
          </w:p>
        </w:tc>
      </w:tr>
      <w:tr w:rsidR="00C206AF" w:rsidRPr="00DF17DC" w:rsidTr="00C206AF">
        <w:tc>
          <w:tcPr>
            <w:tcW w:w="4308" w:type="dxa"/>
          </w:tcPr>
          <w:p w:rsidR="00C206AF" w:rsidRPr="00DF17DC" w:rsidRDefault="00C206AF" w:rsidP="00C206AF">
            <w:pPr>
              <w:spacing w:after="200" w:line="276" w:lineRule="auto"/>
              <w:rPr>
                <w:rFonts w:ascii="Times New Roman" w:eastAsia="Times New Roman" w:hAnsi="Times New Roman" w:cs="B Mitra"/>
                <w:sz w:val="20"/>
                <w:szCs w:val="20"/>
              </w:rPr>
            </w:pPr>
            <w:r w:rsidRPr="00DF17DC">
              <w:rPr>
                <w:rFonts w:ascii="Times New Roman" w:eastAsia="Times New Roman" w:hAnsi="Times New Roman" w:cs="B Mitra" w:hint="cs"/>
                <w:sz w:val="20"/>
                <w:szCs w:val="20"/>
                <w:rtl/>
              </w:rPr>
              <w:t xml:space="preserve">ارائه دو مقاله </w:t>
            </w:r>
            <w:proofErr w:type="spellStart"/>
            <w:r w:rsidRPr="00DF17DC">
              <w:rPr>
                <w:rFonts w:ascii="Times New Roman" w:eastAsia="Times New Roman" w:hAnsi="Times New Roman" w:cs="B Mitra"/>
                <w:sz w:val="20"/>
                <w:szCs w:val="20"/>
              </w:rPr>
              <w:t>scopus</w:t>
            </w:r>
            <w:proofErr w:type="spellEnd"/>
          </w:p>
        </w:tc>
        <w:tc>
          <w:tcPr>
            <w:tcW w:w="4288" w:type="dxa"/>
          </w:tcPr>
          <w:p w:rsidR="00C206AF" w:rsidRPr="00DF17DC" w:rsidRDefault="00C206AF" w:rsidP="00C206AF">
            <w:pPr>
              <w:spacing w:after="200" w:line="276" w:lineRule="auto"/>
              <w:rPr>
                <w:rFonts w:ascii="Times New Roman" w:eastAsia="Times New Roman" w:hAnsi="Times New Roman" w:cs="B Mitra"/>
                <w:sz w:val="20"/>
                <w:szCs w:val="20"/>
                <w:rtl/>
              </w:rPr>
            </w:pPr>
            <w:r w:rsidRPr="00DF17DC">
              <w:rPr>
                <w:rFonts w:ascii="Times New Roman" w:eastAsia="Times New Roman" w:hAnsi="Times New Roman" w:cs="B Mitra" w:hint="cs"/>
                <w:sz w:val="20"/>
                <w:szCs w:val="20"/>
                <w:rtl/>
              </w:rPr>
              <w:t>100 % مابقی هزینه تا سقف جدول شماره2</w:t>
            </w:r>
          </w:p>
        </w:tc>
      </w:tr>
    </w:tbl>
    <w:p w:rsidR="00E50A94" w:rsidRPr="00C206AF" w:rsidRDefault="008C7CB7" w:rsidP="00C206AF">
      <w:pPr>
        <w:jc w:val="center"/>
        <w:rPr>
          <w:rFonts w:cs="B Titr"/>
          <w:color w:val="000000" w:themeColor="text1"/>
        </w:rPr>
      </w:pPr>
      <w:r w:rsidRPr="00C206AF">
        <w:rPr>
          <w:rFonts w:cs="B Titr" w:hint="cs"/>
          <w:color w:val="000000" w:themeColor="text1"/>
          <w:rtl/>
        </w:rPr>
        <w:t xml:space="preserve">جدول شماره3: </w:t>
      </w:r>
      <w:r w:rsidR="0080322D" w:rsidRPr="00C206AF">
        <w:rPr>
          <w:rFonts w:cs="B Titr" w:hint="cs"/>
          <w:color w:val="000000" w:themeColor="text1"/>
          <w:rtl/>
        </w:rPr>
        <w:t>میزان هزینه پرداختی بر اساس نوع ایندکس مقاله</w:t>
      </w:r>
    </w:p>
    <w:p w:rsidR="0033146B" w:rsidRPr="008C7CB7" w:rsidRDefault="0033146B" w:rsidP="0033146B">
      <w:pPr>
        <w:spacing w:line="360" w:lineRule="auto"/>
        <w:ind w:left="300"/>
        <w:rPr>
          <w:rFonts w:cs="B Zar"/>
          <w:sz w:val="24"/>
          <w:szCs w:val="24"/>
          <w:rtl/>
        </w:rPr>
      </w:pPr>
    </w:p>
    <w:sectPr w:rsidR="0033146B" w:rsidRPr="008C7CB7" w:rsidSect="00612D2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0B" w:rsidRDefault="00D1240B" w:rsidP="009C37F7">
      <w:pPr>
        <w:spacing w:after="0" w:line="240" w:lineRule="auto"/>
      </w:pPr>
      <w:r>
        <w:separator/>
      </w:r>
    </w:p>
  </w:endnote>
  <w:endnote w:type="continuationSeparator" w:id="0">
    <w:p w:rsidR="00D1240B" w:rsidRDefault="00D1240B" w:rsidP="009C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0B" w:rsidRDefault="00D1240B" w:rsidP="009C37F7">
      <w:pPr>
        <w:spacing w:after="0" w:line="240" w:lineRule="auto"/>
      </w:pPr>
      <w:r>
        <w:separator/>
      </w:r>
    </w:p>
  </w:footnote>
  <w:footnote w:type="continuationSeparator" w:id="0">
    <w:p w:rsidR="00D1240B" w:rsidRDefault="00D1240B" w:rsidP="009C3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8F1"/>
    <w:multiLevelType w:val="hybridMultilevel"/>
    <w:tmpl w:val="9A4A85D2"/>
    <w:lvl w:ilvl="0" w:tplc="B7C44C5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0D32DD1"/>
    <w:multiLevelType w:val="hybridMultilevel"/>
    <w:tmpl w:val="7DA22B3C"/>
    <w:lvl w:ilvl="0" w:tplc="A1BAD6B6">
      <w:numFmt w:val="bullet"/>
      <w:lvlText w:val="-"/>
      <w:lvlJc w:val="left"/>
      <w:pPr>
        <w:ind w:left="720" w:hanging="360"/>
      </w:pPr>
      <w:rPr>
        <w:rFonts w:ascii="Calibri" w:eastAsia="Calibri" w:hAnsi="Calibri" w:cs="B Zar"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20E4B"/>
    <w:multiLevelType w:val="hybridMultilevel"/>
    <w:tmpl w:val="D0DC3224"/>
    <w:lvl w:ilvl="0" w:tplc="43AA3D0E">
      <w:numFmt w:val="bullet"/>
      <w:lvlText w:val="-"/>
      <w:lvlJc w:val="left"/>
      <w:pPr>
        <w:ind w:left="785" w:hanging="360"/>
      </w:pPr>
      <w:rPr>
        <w:rFonts w:ascii="Times New Roman" w:eastAsia="Times New Roman" w:hAnsi="Times New Roman" w:cs="B Mitra"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3">
    <w:nsid w:val="175D766D"/>
    <w:multiLevelType w:val="hybridMultilevel"/>
    <w:tmpl w:val="1A826E4E"/>
    <w:lvl w:ilvl="0" w:tplc="C7C427A2">
      <w:numFmt w:val="bullet"/>
      <w:lvlText w:val=""/>
      <w:lvlJc w:val="left"/>
      <w:pPr>
        <w:ind w:left="780" w:hanging="360"/>
      </w:pPr>
      <w:rPr>
        <w:rFonts w:ascii="Symbol" w:eastAsia="Calibri" w:hAnsi="Symbol" w:cs="B Mitr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722040A"/>
    <w:multiLevelType w:val="hybridMultilevel"/>
    <w:tmpl w:val="AD10B048"/>
    <w:lvl w:ilvl="0" w:tplc="B6DEFE42">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EF393B"/>
    <w:multiLevelType w:val="hybridMultilevel"/>
    <w:tmpl w:val="3A2AD83A"/>
    <w:lvl w:ilvl="0" w:tplc="B6602720">
      <w:numFmt w:val="bullet"/>
      <w:lvlText w:val="-"/>
      <w:lvlJc w:val="left"/>
      <w:pPr>
        <w:ind w:left="360" w:hanging="360"/>
      </w:pPr>
      <w:rPr>
        <w:rFonts w:ascii="Calibri" w:eastAsia="Calibri" w:hAnsi="Calibri" w:cs="B Mitr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7E"/>
    <w:rsid w:val="000200DF"/>
    <w:rsid w:val="00020B78"/>
    <w:rsid w:val="0002120D"/>
    <w:rsid w:val="00047CE0"/>
    <w:rsid w:val="000762F6"/>
    <w:rsid w:val="00077EA8"/>
    <w:rsid w:val="000841B3"/>
    <w:rsid w:val="0009143B"/>
    <w:rsid w:val="000A65F5"/>
    <w:rsid w:val="00102A84"/>
    <w:rsid w:val="00105C25"/>
    <w:rsid w:val="001124CB"/>
    <w:rsid w:val="001214A2"/>
    <w:rsid w:val="00165A16"/>
    <w:rsid w:val="00173DB3"/>
    <w:rsid w:val="00173FAB"/>
    <w:rsid w:val="00186A5D"/>
    <w:rsid w:val="00195213"/>
    <w:rsid w:val="0019632B"/>
    <w:rsid w:val="001A6844"/>
    <w:rsid w:val="001D4C39"/>
    <w:rsid w:val="001D716F"/>
    <w:rsid w:val="001D7A97"/>
    <w:rsid w:val="001F0BE8"/>
    <w:rsid w:val="0022001F"/>
    <w:rsid w:val="00252733"/>
    <w:rsid w:val="002647E8"/>
    <w:rsid w:val="00266B26"/>
    <w:rsid w:val="0027080D"/>
    <w:rsid w:val="00274610"/>
    <w:rsid w:val="002931F5"/>
    <w:rsid w:val="00294DCA"/>
    <w:rsid w:val="0029510D"/>
    <w:rsid w:val="002B7BBD"/>
    <w:rsid w:val="002F416A"/>
    <w:rsid w:val="00306004"/>
    <w:rsid w:val="0033146B"/>
    <w:rsid w:val="00332F78"/>
    <w:rsid w:val="00374DFB"/>
    <w:rsid w:val="00382DBE"/>
    <w:rsid w:val="003853FE"/>
    <w:rsid w:val="003A0E1E"/>
    <w:rsid w:val="003A2D2E"/>
    <w:rsid w:val="003A3680"/>
    <w:rsid w:val="003D6022"/>
    <w:rsid w:val="003E4FF3"/>
    <w:rsid w:val="0041211A"/>
    <w:rsid w:val="00412547"/>
    <w:rsid w:val="00443EE6"/>
    <w:rsid w:val="004560E7"/>
    <w:rsid w:val="00472368"/>
    <w:rsid w:val="00484C7A"/>
    <w:rsid w:val="004855B2"/>
    <w:rsid w:val="00494D5A"/>
    <w:rsid w:val="004B6E94"/>
    <w:rsid w:val="004D6DCF"/>
    <w:rsid w:val="004E5B2F"/>
    <w:rsid w:val="004F2B12"/>
    <w:rsid w:val="004F5CC1"/>
    <w:rsid w:val="005000DD"/>
    <w:rsid w:val="005104C3"/>
    <w:rsid w:val="00516813"/>
    <w:rsid w:val="0053557F"/>
    <w:rsid w:val="00543C4B"/>
    <w:rsid w:val="005513B6"/>
    <w:rsid w:val="005665C1"/>
    <w:rsid w:val="0057262B"/>
    <w:rsid w:val="00572DBB"/>
    <w:rsid w:val="0058315C"/>
    <w:rsid w:val="00583DAE"/>
    <w:rsid w:val="005A5A2B"/>
    <w:rsid w:val="005B79D6"/>
    <w:rsid w:val="005C5E79"/>
    <w:rsid w:val="005D0C53"/>
    <w:rsid w:val="005D5B43"/>
    <w:rsid w:val="005E25CB"/>
    <w:rsid w:val="00612D24"/>
    <w:rsid w:val="00613A55"/>
    <w:rsid w:val="00613EC9"/>
    <w:rsid w:val="006251B7"/>
    <w:rsid w:val="0062687A"/>
    <w:rsid w:val="006353F3"/>
    <w:rsid w:val="0063757F"/>
    <w:rsid w:val="006533BA"/>
    <w:rsid w:val="006533DA"/>
    <w:rsid w:val="00667DF0"/>
    <w:rsid w:val="00673B03"/>
    <w:rsid w:val="00680B19"/>
    <w:rsid w:val="006A4B88"/>
    <w:rsid w:val="006B1307"/>
    <w:rsid w:val="007207DC"/>
    <w:rsid w:val="00742485"/>
    <w:rsid w:val="00775D28"/>
    <w:rsid w:val="00787914"/>
    <w:rsid w:val="007A183E"/>
    <w:rsid w:val="007A4516"/>
    <w:rsid w:val="007D3A56"/>
    <w:rsid w:val="007D5174"/>
    <w:rsid w:val="007E03D7"/>
    <w:rsid w:val="007E0484"/>
    <w:rsid w:val="007F3050"/>
    <w:rsid w:val="007F50F2"/>
    <w:rsid w:val="0080322D"/>
    <w:rsid w:val="0082134D"/>
    <w:rsid w:val="008221A4"/>
    <w:rsid w:val="00826598"/>
    <w:rsid w:val="00833D8A"/>
    <w:rsid w:val="00850DD1"/>
    <w:rsid w:val="00851149"/>
    <w:rsid w:val="00857B7E"/>
    <w:rsid w:val="008C7CB7"/>
    <w:rsid w:val="008E0495"/>
    <w:rsid w:val="008F2E3A"/>
    <w:rsid w:val="008F530E"/>
    <w:rsid w:val="00921590"/>
    <w:rsid w:val="0094638C"/>
    <w:rsid w:val="00975DDC"/>
    <w:rsid w:val="00993DAA"/>
    <w:rsid w:val="009B5F7D"/>
    <w:rsid w:val="009C37F7"/>
    <w:rsid w:val="009D4F8D"/>
    <w:rsid w:val="009D6A16"/>
    <w:rsid w:val="00A1450B"/>
    <w:rsid w:val="00A2200B"/>
    <w:rsid w:val="00A36B08"/>
    <w:rsid w:val="00A40A86"/>
    <w:rsid w:val="00A56935"/>
    <w:rsid w:val="00A927E7"/>
    <w:rsid w:val="00AA1C3E"/>
    <w:rsid w:val="00AC1644"/>
    <w:rsid w:val="00B14EC7"/>
    <w:rsid w:val="00B16043"/>
    <w:rsid w:val="00B473BE"/>
    <w:rsid w:val="00B714CF"/>
    <w:rsid w:val="00B81AC9"/>
    <w:rsid w:val="00B853E7"/>
    <w:rsid w:val="00BA10F8"/>
    <w:rsid w:val="00BB1F97"/>
    <w:rsid w:val="00BC6234"/>
    <w:rsid w:val="00BC73F3"/>
    <w:rsid w:val="00BD727D"/>
    <w:rsid w:val="00BE2D18"/>
    <w:rsid w:val="00C00107"/>
    <w:rsid w:val="00C022C1"/>
    <w:rsid w:val="00C07C83"/>
    <w:rsid w:val="00C11202"/>
    <w:rsid w:val="00C206AF"/>
    <w:rsid w:val="00C2260F"/>
    <w:rsid w:val="00C31870"/>
    <w:rsid w:val="00C6220A"/>
    <w:rsid w:val="00C677F9"/>
    <w:rsid w:val="00CB22FD"/>
    <w:rsid w:val="00CC6662"/>
    <w:rsid w:val="00CD20AB"/>
    <w:rsid w:val="00CD48F6"/>
    <w:rsid w:val="00D06CB4"/>
    <w:rsid w:val="00D1240B"/>
    <w:rsid w:val="00D938A5"/>
    <w:rsid w:val="00DB01EE"/>
    <w:rsid w:val="00DC26D2"/>
    <w:rsid w:val="00DD1D75"/>
    <w:rsid w:val="00DD36BF"/>
    <w:rsid w:val="00DE7B36"/>
    <w:rsid w:val="00DF17DC"/>
    <w:rsid w:val="00E06BAD"/>
    <w:rsid w:val="00E10F22"/>
    <w:rsid w:val="00E20A52"/>
    <w:rsid w:val="00E4267F"/>
    <w:rsid w:val="00E50A94"/>
    <w:rsid w:val="00EA4311"/>
    <w:rsid w:val="00EC0ABA"/>
    <w:rsid w:val="00EF6592"/>
    <w:rsid w:val="00F00403"/>
    <w:rsid w:val="00F54609"/>
    <w:rsid w:val="00F73BB5"/>
    <w:rsid w:val="00FB1B23"/>
    <w:rsid w:val="00FC770B"/>
    <w:rsid w:val="00FD6AAE"/>
    <w:rsid w:val="00FD7DBE"/>
    <w:rsid w:val="00FE2235"/>
    <w:rsid w:val="00FE76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0"/>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90"/>
    <w:pPr>
      <w:ind w:left="720"/>
      <w:contextualSpacing/>
    </w:pPr>
  </w:style>
  <w:style w:type="paragraph" w:styleId="Header">
    <w:name w:val="header"/>
    <w:basedOn w:val="Normal"/>
    <w:link w:val="HeaderChar"/>
    <w:uiPriority w:val="99"/>
    <w:unhideWhenUsed/>
    <w:rsid w:val="009C3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7F7"/>
    <w:rPr>
      <w:rFonts w:ascii="Calibri" w:eastAsia="Calibri" w:hAnsi="Calibri" w:cs="Arial"/>
    </w:rPr>
  </w:style>
  <w:style w:type="paragraph" w:styleId="Footer">
    <w:name w:val="footer"/>
    <w:basedOn w:val="Normal"/>
    <w:link w:val="FooterChar"/>
    <w:uiPriority w:val="99"/>
    <w:unhideWhenUsed/>
    <w:rsid w:val="009C3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7F7"/>
    <w:rPr>
      <w:rFonts w:ascii="Calibri" w:eastAsia="Calibri" w:hAnsi="Calibri" w:cs="Arial"/>
    </w:rPr>
  </w:style>
  <w:style w:type="paragraph" w:styleId="BalloonText">
    <w:name w:val="Balloon Text"/>
    <w:basedOn w:val="Normal"/>
    <w:link w:val="BalloonTextChar"/>
    <w:uiPriority w:val="99"/>
    <w:semiHidden/>
    <w:unhideWhenUsed/>
    <w:rsid w:val="002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E8"/>
    <w:rPr>
      <w:rFonts w:ascii="Tahoma" w:eastAsia="Calibri" w:hAnsi="Tahoma" w:cs="Tahoma"/>
      <w:sz w:val="16"/>
      <w:szCs w:val="16"/>
    </w:rPr>
  </w:style>
  <w:style w:type="table" w:styleId="TableGrid">
    <w:name w:val="Table Grid"/>
    <w:basedOn w:val="TableNormal"/>
    <w:uiPriority w:val="59"/>
    <w:rsid w:val="001A6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27E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7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0"/>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90"/>
    <w:pPr>
      <w:ind w:left="720"/>
      <w:contextualSpacing/>
    </w:pPr>
  </w:style>
  <w:style w:type="paragraph" w:styleId="Header">
    <w:name w:val="header"/>
    <w:basedOn w:val="Normal"/>
    <w:link w:val="HeaderChar"/>
    <w:uiPriority w:val="99"/>
    <w:unhideWhenUsed/>
    <w:rsid w:val="009C3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7F7"/>
    <w:rPr>
      <w:rFonts w:ascii="Calibri" w:eastAsia="Calibri" w:hAnsi="Calibri" w:cs="Arial"/>
    </w:rPr>
  </w:style>
  <w:style w:type="paragraph" w:styleId="Footer">
    <w:name w:val="footer"/>
    <w:basedOn w:val="Normal"/>
    <w:link w:val="FooterChar"/>
    <w:uiPriority w:val="99"/>
    <w:unhideWhenUsed/>
    <w:rsid w:val="009C3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7F7"/>
    <w:rPr>
      <w:rFonts w:ascii="Calibri" w:eastAsia="Calibri" w:hAnsi="Calibri" w:cs="Arial"/>
    </w:rPr>
  </w:style>
  <w:style w:type="paragraph" w:styleId="BalloonText">
    <w:name w:val="Balloon Text"/>
    <w:basedOn w:val="Normal"/>
    <w:link w:val="BalloonTextChar"/>
    <w:uiPriority w:val="99"/>
    <w:semiHidden/>
    <w:unhideWhenUsed/>
    <w:rsid w:val="002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E8"/>
    <w:rPr>
      <w:rFonts w:ascii="Tahoma" w:eastAsia="Calibri" w:hAnsi="Tahoma" w:cs="Tahoma"/>
      <w:sz w:val="16"/>
      <w:szCs w:val="16"/>
    </w:rPr>
  </w:style>
  <w:style w:type="table" w:styleId="TableGrid">
    <w:name w:val="Table Grid"/>
    <w:basedOn w:val="TableNormal"/>
    <w:uiPriority w:val="59"/>
    <w:rsid w:val="001A6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27E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5179">
      <w:bodyDiv w:val="1"/>
      <w:marLeft w:val="0"/>
      <w:marRight w:val="0"/>
      <w:marTop w:val="0"/>
      <w:marBottom w:val="0"/>
      <w:divBdr>
        <w:top w:val="none" w:sz="0" w:space="0" w:color="auto"/>
        <w:left w:val="none" w:sz="0" w:space="0" w:color="auto"/>
        <w:bottom w:val="none" w:sz="0" w:space="0" w:color="auto"/>
        <w:right w:val="none" w:sz="0" w:space="0" w:color="auto"/>
      </w:divBdr>
    </w:div>
    <w:div w:id="1662191813">
      <w:bodyDiv w:val="1"/>
      <w:marLeft w:val="0"/>
      <w:marRight w:val="0"/>
      <w:marTop w:val="0"/>
      <w:marBottom w:val="0"/>
      <w:divBdr>
        <w:top w:val="none" w:sz="0" w:space="0" w:color="auto"/>
        <w:left w:val="none" w:sz="0" w:space="0" w:color="auto"/>
        <w:bottom w:val="none" w:sz="0" w:space="0" w:color="auto"/>
        <w:right w:val="none" w:sz="0" w:space="0" w:color="auto"/>
      </w:divBdr>
    </w:div>
    <w:div w:id="19933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7D8E-B372-46C4-9968-5064CA0A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Ramazani</dc:creator>
  <cp:lastModifiedBy>Nehleh Parandavar</cp:lastModifiedBy>
  <cp:revision>2</cp:revision>
  <cp:lastPrinted>2019-11-30T07:31:00Z</cp:lastPrinted>
  <dcterms:created xsi:type="dcterms:W3CDTF">2021-10-26T09:30:00Z</dcterms:created>
  <dcterms:modified xsi:type="dcterms:W3CDTF">2021-10-26T09:30:00Z</dcterms:modified>
</cp:coreProperties>
</file>